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74EE9C">
      <w:pPr>
        <w:spacing w:line="360" w:lineRule="auto"/>
        <w:ind w:firstLine="560"/>
        <w:jc w:val="center"/>
        <w:rPr>
          <w:rFonts w:ascii="宋体" w:hAnsi="宋体"/>
          <w:b/>
          <w:bCs/>
          <w:sz w:val="36"/>
          <w:szCs w:val="36"/>
        </w:rPr>
      </w:pPr>
      <w:r>
        <w:rPr>
          <w:rFonts w:hint="eastAsia" w:ascii="宋体" w:hAnsi="宋体"/>
          <w:b/>
          <w:bCs/>
          <w:sz w:val="36"/>
          <w:szCs w:val="36"/>
        </w:rPr>
        <w:t>远东智慧能源股份有限公司</w:t>
      </w:r>
    </w:p>
    <w:p w14:paraId="5300EEBE">
      <w:pPr>
        <w:spacing w:line="360" w:lineRule="auto"/>
        <w:ind w:firstLine="560"/>
        <w:jc w:val="center"/>
        <w:rPr>
          <w:rFonts w:ascii="宋体" w:hAnsi="宋体"/>
          <w:b/>
          <w:bCs/>
          <w:sz w:val="36"/>
          <w:szCs w:val="36"/>
          <w:u w:val="double"/>
          <w:lang w:val="zh-CN"/>
        </w:rPr>
      </w:pPr>
      <w:r>
        <w:rPr>
          <w:rFonts w:hint="eastAsia" w:ascii="宋体" w:hAnsi="宋体"/>
          <w:b/>
          <w:bCs/>
          <w:sz w:val="36"/>
          <w:szCs w:val="36"/>
        </w:rPr>
        <w:t>旗下子公司—</w:t>
      </w:r>
      <w:r>
        <w:rPr>
          <w:rFonts w:hint="eastAsia" w:ascii="宋体" w:hAnsi="宋体"/>
          <w:b/>
          <w:bCs/>
          <w:sz w:val="36"/>
          <w:szCs w:val="36"/>
          <w:u w:val="double"/>
          <w:lang w:val="zh-CN"/>
        </w:rPr>
        <w:t>远东</w:t>
      </w:r>
      <w:r>
        <w:rPr>
          <w:rFonts w:hint="eastAsia" w:ascii="宋体" w:hAnsi="宋体"/>
          <w:b/>
          <w:bCs/>
          <w:sz w:val="36"/>
          <w:szCs w:val="36"/>
          <w:u w:val="double"/>
        </w:rPr>
        <w:t>海缆</w:t>
      </w:r>
      <w:r>
        <w:rPr>
          <w:rFonts w:hint="eastAsia" w:ascii="宋体" w:hAnsi="宋体"/>
          <w:b/>
          <w:bCs/>
          <w:sz w:val="36"/>
          <w:szCs w:val="36"/>
          <w:u w:val="double"/>
          <w:lang w:val="zh-CN"/>
        </w:rPr>
        <w:t>有限公司</w:t>
      </w:r>
    </w:p>
    <w:p w14:paraId="7B9DE1F7">
      <w:pPr>
        <w:spacing w:line="360" w:lineRule="auto"/>
        <w:ind w:firstLine="560"/>
        <w:jc w:val="center"/>
        <w:rPr>
          <w:rFonts w:ascii="宋体" w:hAnsi="宋体"/>
          <w:b/>
          <w:bCs/>
          <w:sz w:val="36"/>
          <w:szCs w:val="36"/>
          <w:u w:val="single"/>
        </w:rPr>
      </w:pPr>
      <w:r>
        <w:rPr>
          <w:rFonts w:hint="eastAsia" w:ascii="宋体" w:hAnsi="宋体"/>
          <w:b/>
          <w:bCs/>
          <w:sz w:val="36"/>
          <w:szCs w:val="36"/>
          <w:u w:val="single"/>
          <w:lang w:val="en-US" w:eastAsia="zh-CN"/>
        </w:rPr>
        <w:t>去气室</w:t>
      </w:r>
      <w:r>
        <w:rPr>
          <w:rFonts w:hint="eastAsia" w:ascii="宋体" w:hAnsi="宋体"/>
          <w:b/>
          <w:bCs/>
          <w:sz w:val="36"/>
          <w:szCs w:val="36"/>
          <w:u w:val="single"/>
        </w:rPr>
        <w:t>招标书</w:t>
      </w:r>
    </w:p>
    <w:p w14:paraId="5B30D514">
      <w:pPr>
        <w:spacing w:line="600" w:lineRule="exact"/>
        <w:ind w:firstLine="2800" w:firstLineChars="1000"/>
        <w:rPr>
          <w:rFonts w:hint="eastAsia" w:ascii="宋体" w:hAnsi="宋体" w:eastAsia="宋体"/>
          <w:sz w:val="28"/>
          <w:szCs w:val="28"/>
          <w:lang w:eastAsia="zh-CN"/>
        </w:rPr>
      </w:pPr>
      <w:r>
        <w:rPr>
          <w:rFonts w:hint="eastAsia" w:ascii="宋体" w:hAnsi="宋体"/>
          <w:sz w:val="28"/>
          <w:szCs w:val="28"/>
        </w:rPr>
        <w:t>招标书编号：</w:t>
      </w:r>
      <w:r>
        <w:rPr>
          <w:rFonts w:ascii="宋体" w:hAnsi="宋体"/>
          <w:sz w:val="28"/>
          <w:szCs w:val="28"/>
        </w:rPr>
        <w:t>202</w:t>
      </w:r>
      <w:r>
        <w:rPr>
          <w:rFonts w:hint="eastAsia" w:ascii="宋体" w:hAnsi="宋体"/>
          <w:sz w:val="28"/>
          <w:szCs w:val="28"/>
          <w:lang w:val="en-US" w:eastAsia="zh-CN"/>
        </w:rPr>
        <w:t>608030</w:t>
      </w:r>
      <w:r>
        <w:rPr>
          <w:rFonts w:hint="eastAsia" w:ascii="宋体" w:hAnsi="宋体"/>
          <w:sz w:val="28"/>
          <w:szCs w:val="28"/>
        </w:rPr>
        <w:t>0</w:t>
      </w:r>
      <w:r>
        <w:rPr>
          <w:rFonts w:hint="eastAsia" w:ascii="宋体" w:hAnsi="宋体"/>
          <w:sz w:val="28"/>
          <w:szCs w:val="28"/>
          <w:lang w:val="en-US" w:eastAsia="zh-CN"/>
        </w:rPr>
        <w:t>2</w:t>
      </w:r>
    </w:p>
    <w:p w14:paraId="53715BD7">
      <w:pPr>
        <w:spacing w:line="420" w:lineRule="exact"/>
        <w:rPr>
          <w:rFonts w:hint="eastAsia" w:ascii="等线" w:hAnsi="等线" w:eastAsia="等线"/>
          <w:b/>
          <w:bCs/>
          <w:color w:val="0070C0"/>
          <w:szCs w:val="21"/>
          <w:lang w:eastAsia="zh-CN" w:bidi="ar-SA"/>
        </w:rPr>
      </w:pPr>
      <w:r>
        <w:rPr>
          <w:rFonts w:hint="eastAsia" w:ascii="等线" w:hAnsi="等线" w:eastAsia="等线"/>
          <w:b/>
          <w:bCs/>
          <w:color w:val="0070C0"/>
          <w:szCs w:val="21"/>
          <w:lang w:bidi="ar-SA"/>
        </w:rPr>
        <w:t>一、</w:t>
      </w:r>
      <w:r>
        <w:rPr>
          <w:rFonts w:hint="eastAsia" w:ascii="等线" w:hAnsi="等线" w:eastAsia="等线"/>
          <w:b/>
          <w:bCs/>
          <w:color w:val="0070C0"/>
          <w:szCs w:val="21"/>
          <w:lang w:val="en-US" w:eastAsia="zh-CN" w:bidi="ar-SA"/>
        </w:rPr>
        <w:t>概述</w:t>
      </w:r>
    </w:p>
    <w:p w14:paraId="13A9436D">
      <w:pPr>
        <w:spacing w:line="420" w:lineRule="exact"/>
        <w:ind w:firstLine="472" w:firstLineChars="225"/>
        <w:jc w:val="left"/>
        <w:rPr>
          <w:rFonts w:hint="eastAsia" w:asciiTheme="minorEastAsia" w:hAnsiTheme="minorEastAsia" w:eastAsiaTheme="minorEastAsia" w:cstheme="minorEastAsia"/>
          <w:szCs w:val="21"/>
          <w:lang w:bidi="ar-SA"/>
        </w:rPr>
      </w:pPr>
      <w:r>
        <w:rPr>
          <w:rFonts w:hint="eastAsia" w:asciiTheme="minorEastAsia" w:hAnsiTheme="minorEastAsia" w:eastAsiaTheme="minorEastAsia" w:cstheme="minorEastAsia"/>
          <w:szCs w:val="21"/>
          <w:lang w:bidi="ar-SA"/>
        </w:rPr>
        <w:t>远东海缆有限公司，地址:南通市如东县洋口港，本次招标采购设备为2只海缆交联线芯包带干燥(注:后期可根据需要升级为交联线芯去气，即二期建设，后有说明)设备，投标方应根据招标文件所提出的设备技</w:t>
      </w:r>
      <w:bookmarkStart w:id="1" w:name="_GoBack"/>
      <w:bookmarkEnd w:id="1"/>
      <w:r>
        <w:rPr>
          <w:rFonts w:hint="eastAsia" w:asciiTheme="minorEastAsia" w:hAnsiTheme="minorEastAsia" w:eastAsiaTheme="minorEastAsia" w:cstheme="minorEastAsia"/>
          <w:szCs w:val="21"/>
          <w:lang w:bidi="ar-SA"/>
        </w:rPr>
        <w:t>术规格和质量要求，综合考虑设备的适用性与长期使用可靠性，提供具有最佳性能价格比的设备前来投标。希望投标方以性能精良的设备、优质的服务和优惠的价格，充分显示投标方的竞争实力。</w:t>
      </w:r>
    </w:p>
    <w:p w14:paraId="7FB841AF">
      <w:pPr>
        <w:spacing w:line="420" w:lineRule="exact"/>
        <w:ind w:firstLine="472" w:firstLineChars="225"/>
        <w:jc w:val="left"/>
        <w:rPr>
          <w:rFonts w:hint="eastAsia" w:asciiTheme="minorEastAsia" w:hAnsiTheme="minorEastAsia" w:eastAsiaTheme="minorEastAsia" w:cstheme="minorEastAsia"/>
          <w:szCs w:val="21"/>
          <w:lang w:bidi="ar-SA"/>
        </w:rPr>
      </w:pPr>
    </w:p>
    <w:p w14:paraId="3123201B">
      <w:pPr>
        <w:numPr>
          <w:ilvl w:val="0"/>
          <w:numId w:val="0"/>
        </w:numPr>
        <w:spacing w:line="360" w:lineRule="auto"/>
        <w:ind w:leftChars="0"/>
        <w:outlineLvl w:val="2"/>
        <w:rPr>
          <w:rFonts w:ascii="等线" w:hAnsi="等线" w:eastAsia="等线"/>
          <w:b/>
          <w:bCs/>
          <w:color w:val="0070C0"/>
          <w:szCs w:val="21"/>
          <w:lang w:bidi="ar-SA"/>
        </w:rPr>
      </w:pPr>
      <w:r>
        <w:rPr>
          <w:rFonts w:hint="eastAsia" w:ascii="等线" w:hAnsi="等线" w:eastAsia="等线"/>
          <w:b/>
          <w:bCs/>
          <w:color w:val="0070C0"/>
          <w:szCs w:val="21"/>
          <w:lang w:bidi="ar-SA"/>
        </w:rPr>
        <w:t>二、招标设备名称、规格、数量</w:t>
      </w:r>
    </w:p>
    <w:p w14:paraId="44779FFB">
      <w:pPr>
        <w:spacing w:line="420" w:lineRule="exact"/>
        <w:ind w:firstLine="472" w:firstLineChars="225"/>
        <w:jc w:val="left"/>
        <w:rPr>
          <w:rFonts w:hint="eastAsia" w:asciiTheme="minorEastAsia" w:hAnsiTheme="minorEastAsia" w:eastAsiaTheme="minorEastAsia" w:cstheme="minorEastAsia"/>
          <w:szCs w:val="21"/>
          <w:lang w:val="en-US" w:eastAsia="zh-CN" w:bidi="ar-SA"/>
        </w:rPr>
      </w:pPr>
      <w:bookmarkStart w:id="0" w:name="_Toc1158868859"/>
      <w:r>
        <w:rPr>
          <w:rFonts w:hint="eastAsia" w:asciiTheme="minorEastAsia" w:hAnsiTheme="minorEastAsia" w:eastAsiaTheme="minorEastAsia" w:cstheme="minorEastAsia"/>
          <w:szCs w:val="21"/>
          <w:lang w:bidi="ar-SA"/>
        </w:rPr>
        <w:t>1、海缆交联线芯包带干燥室,干燥室搭建在转盘上,采用电加热,工艺温度:40-60°C,温控精度:±2°C，配套以下设备</w:t>
      </w:r>
      <w:r>
        <w:rPr>
          <w:rFonts w:hint="eastAsia" w:asciiTheme="minorEastAsia" w:hAnsiTheme="minorEastAsia" w:eastAsiaTheme="minorEastAsia" w:cstheme="minorEastAsia"/>
          <w:szCs w:val="21"/>
          <w:lang w:val="en-US" w:eastAsia="zh-CN" w:bidi="ar-SA"/>
        </w:rPr>
        <w:t>直径</w:t>
      </w:r>
      <w:r>
        <w:rPr>
          <w:rFonts w:hint="eastAsia" w:asciiTheme="minorEastAsia" w:hAnsiTheme="minorEastAsia" w:eastAsiaTheme="minorEastAsia" w:cstheme="minorEastAsia"/>
          <w:szCs w:val="21"/>
          <w:lang w:bidi="ar-SA"/>
        </w:rPr>
        <w:t>14m转盘(收卷外径14m，收卷内径5m，高度:3.7m)</w:t>
      </w:r>
      <w:r>
        <w:rPr>
          <w:rFonts w:hint="eastAsia" w:asciiTheme="minorEastAsia" w:hAnsiTheme="minorEastAsia" w:eastAsiaTheme="minorEastAsia" w:cstheme="minorEastAsia"/>
          <w:szCs w:val="21"/>
          <w:lang w:val="en-US" w:eastAsia="zh-CN" w:bidi="ar-SA"/>
        </w:rPr>
        <w:t xml:space="preserve">    2只;</w:t>
      </w:r>
    </w:p>
    <w:p w14:paraId="4756BD50">
      <w:pPr>
        <w:spacing w:line="420" w:lineRule="exact"/>
        <w:ind w:firstLine="472" w:firstLineChars="225"/>
        <w:jc w:val="left"/>
        <w:rPr>
          <w:rFonts w:hint="default" w:asciiTheme="minorEastAsia" w:hAnsiTheme="minorEastAsia" w:eastAsiaTheme="minorEastAsia" w:cstheme="minorEastAsia"/>
          <w:szCs w:val="21"/>
          <w:lang w:val="en-US" w:eastAsia="zh-CN" w:bidi="ar-SA"/>
        </w:rPr>
      </w:pPr>
    </w:p>
    <w:p w14:paraId="0625D4ED">
      <w:pPr>
        <w:numPr>
          <w:ilvl w:val="0"/>
          <w:numId w:val="0"/>
        </w:numPr>
        <w:spacing w:line="360" w:lineRule="auto"/>
        <w:ind w:leftChars="0"/>
        <w:outlineLvl w:val="2"/>
        <w:rPr>
          <w:rFonts w:hint="eastAsia" w:ascii="宋体" w:hAnsi="宋体"/>
          <w:b/>
          <w:sz w:val="24"/>
        </w:rPr>
      </w:pPr>
      <w:r>
        <w:rPr>
          <w:rFonts w:hint="eastAsia" w:ascii="等线" w:hAnsi="等线" w:eastAsia="等线"/>
          <w:b/>
          <w:bCs/>
          <w:color w:val="0070C0"/>
          <w:szCs w:val="21"/>
          <w:lang w:val="en-US" w:eastAsia="zh-CN" w:bidi="ar-SA"/>
        </w:rPr>
        <w:t>三、技术</w:t>
      </w:r>
      <w:r>
        <w:rPr>
          <w:rFonts w:hint="eastAsia" w:ascii="等线" w:hAnsi="等线" w:eastAsia="等线"/>
          <w:b/>
          <w:bCs/>
          <w:color w:val="0070C0"/>
          <w:szCs w:val="21"/>
          <w:lang w:bidi="ar-SA"/>
        </w:rPr>
        <w:t>要求</w:t>
      </w:r>
      <w:bookmarkEnd w:id="0"/>
    </w:p>
    <w:p w14:paraId="0D04F83D">
      <w:pPr>
        <w:spacing w:line="420" w:lineRule="exact"/>
        <w:ind w:firstLine="472" w:firstLineChars="225"/>
        <w:jc w:val="left"/>
        <w:rPr>
          <w:rFonts w:hint="eastAsia" w:asciiTheme="minorEastAsia" w:hAnsiTheme="minorEastAsia" w:eastAsiaTheme="minorEastAsia" w:cstheme="minorEastAsia"/>
          <w:szCs w:val="21"/>
          <w:lang w:val="en-US" w:eastAsia="zh-CN" w:bidi="ar-SA"/>
        </w:rPr>
      </w:pPr>
      <w:r>
        <w:rPr>
          <w:rFonts w:hint="eastAsia" w:asciiTheme="minorEastAsia" w:hAnsiTheme="minorEastAsia" w:eastAsiaTheme="minorEastAsia" w:cstheme="minorEastAsia"/>
          <w:szCs w:val="21"/>
          <w:lang w:val="en-US" w:eastAsia="zh-CN" w:bidi="ar-SA"/>
        </w:rPr>
        <w:t>技术要求详见技术文件</w:t>
      </w:r>
    </w:p>
    <w:p w14:paraId="09EEBD26">
      <w:pPr>
        <w:spacing w:line="420" w:lineRule="exact"/>
        <w:ind w:firstLine="472" w:firstLineChars="225"/>
        <w:jc w:val="left"/>
        <w:rPr>
          <w:rFonts w:hint="eastAsia" w:asciiTheme="minorEastAsia" w:hAnsiTheme="minorEastAsia" w:eastAsiaTheme="minorEastAsia" w:cstheme="minorEastAsia"/>
          <w:szCs w:val="21"/>
          <w:lang w:val="en-US" w:eastAsia="zh-CN" w:bidi="ar-SA"/>
        </w:rPr>
      </w:pPr>
    </w:p>
    <w:p w14:paraId="0AE63288">
      <w:pPr>
        <w:numPr>
          <w:ilvl w:val="0"/>
          <w:numId w:val="0"/>
        </w:numPr>
        <w:spacing w:line="360" w:lineRule="auto"/>
        <w:ind w:leftChars="0"/>
        <w:outlineLvl w:val="2"/>
        <w:rPr>
          <w:rFonts w:hint="eastAsia" w:ascii="等线" w:hAnsi="等线" w:eastAsia="等线"/>
          <w:b/>
          <w:bCs/>
          <w:color w:val="0070C0"/>
          <w:szCs w:val="21"/>
          <w:lang w:val="en-US" w:eastAsia="zh-CN" w:bidi="ar-SA"/>
        </w:rPr>
      </w:pPr>
      <w:r>
        <w:rPr>
          <w:rFonts w:hint="eastAsia" w:ascii="等线" w:hAnsi="等线" w:eastAsia="等线"/>
          <w:b/>
          <w:bCs/>
          <w:color w:val="0070C0"/>
          <w:szCs w:val="21"/>
          <w:lang w:val="en-US" w:eastAsia="zh-CN" w:bidi="ar-SA"/>
        </w:rPr>
        <w:t>四、应提供的技术文件</w:t>
      </w:r>
    </w:p>
    <w:p w14:paraId="3A314CFB">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1、设备总图与现场布置图</w:t>
      </w:r>
    </w:p>
    <w:p w14:paraId="1BF5DA31">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2、设备及整套生产线设备使用说明书、操作与维保手册</w:t>
      </w:r>
    </w:p>
    <w:p w14:paraId="7CF194B4">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3、电气原理图、管路图、接线图(表)</w:t>
      </w:r>
    </w:p>
    <w:p w14:paraId="74B8CA08">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4、外购配件及控制器原厂说明书、易损件清单。</w:t>
      </w:r>
    </w:p>
    <w:p w14:paraId="531B79E6">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5、其它需要提供的文件、图纸</w:t>
      </w:r>
    </w:p>
    <w:p w14:paraId="39DE91DC">
      <w:pPr>
        <w:spacing w:line="420" w:lineRule="exact"/>
        <w:ind w:firstLine="472" w:firstLineChars="225"/>
        <w:jc w:val="left"/>
        <w:rPr>
          <w:rFonts w:hint="default" w:asciiTheme="minorEastAsia" w:hAnsiTheme="minorEastAsia" w:eastAsiaTheme="minorEastAsia" w:cstheme="minorEastAsia"/>
          <w:szCs w:val="21"/>
          <w:lang w:val="en-US" w:eastAsia="zh-CN" w:bidi="ar-SA"/>
        </w:rPr>
      </w:pPr>
    </w:p>
    <w:p w14:paraId="46F4CBDE">
      <w:pPr>
        <w:numPr>
          <w:ilvl w:val="0"/>
          <w:numId w:val="0"/>
        </w:numPr>
        <w:spacing w:line="360" w:lineRule="auto"/>
        <w:ind w:leftChars="0"/>
        <w:outlineLvl w:val="2"/>
        <w:rPr>
          <w:rFonts w:hint="default" w:ascii="等线" w:hAnsi="等线" w:eastAsia="等线"/>
          <w:b/>
          <w:bCs/>
          <w:color w:val="0070C0"/>
          <w:szCs w:val="21"/>
          <w:lang w:val="en-US" w:eastAsia="zh-CN" w:bidi="ar-SA"/>
        </w:rPr>
      </w:pPr>
      <w:r>
        <w:rPr>
          <w:rFonts w:hint="eastAsia" w:ascii="等线" w:hAnsi="等线" w:eastAsia="等线"/>
          <w:b/>
          <w:bCs/>
          <w:color w:val="0070C0"/>
          <w:szCs w:val="21"/>
          <w:lang w:val="en-US" w:eastAsia="zh-CN" w:bidi="ar-SA"/>
        </w:rPr>
        <w:t>五、</w:t>
      </w:r>
      <w:r>
        <w:rPr>
          <w:rFonts w:hint="default" w:ascii="等线" w:hAnsi="等线" w:eastAsia="等线"/>
          <w:b/>
          <w:bCs/>
          <w:color w:val="0070C0"/>
          <w:szCs w:val="21"/>
          <w:lang w:val="en-US" w:eastAsia="zh-CN" w:bidi="ar-SA"/>
        </w:rPr>
        <w:t>设备验收及技术质量标准</w:t>
      </w:r>
    </w:p>
    <w:p w14:paraId="2611D6A2">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1、按双方确认的技术要求签订设备验收标准在供货合同中明确;</w:t>
      </w:r>
    </w:p>
    <w:p w14:paraId="3C1B3810">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2、设备发运前，供方应提供设备出厂检验报告和各项检验数据;</w:t>
      </w:r>
    </w:p>
    <w:p w14:paraId="2E114AD5">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3、最终验收在买方工厂进行，设备经卖方调试，买方配合调试，并经双方约定的方式通过验收，签署验收备忘录。</w:t>
      </w:r>
    </w:p>
    <w:p w14:paraId="5C958FC4">
      <w:pPr>
        <w:numPr>
          <w:ilvl w:val="0"/>
          <w:numId w:val="2"/>
        </w:num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质量保证期自最终验收合格起不短于两年。</w:t>
      </w:r>
    </w:p>
    <w:p w14:paraId="577DF8B9">
      <w:pPr>
        <w:numPr>
          <w:numId w:val="0"/>
        </w:numPr>
        <w:spacing w:line="420" w:lineRule="exact"/>
        <w:jc w:val="left"/>
        <w:rPr>
          <w:rFonts w:hint="default" w:asciiTheme="minorEastAsia" w:hAnsiTheme="minorEastAsia" w:eastAsiaTheme="minorEastAsia" w:cstheme="minorEastAsia"/>
          <w:szCs w:val="21"/>
          <w:lang w:val="en-US" w:eastAsia="zh-CN" w:bidi="ar-SA"/>
        </w:rPr>
      </w:pPr>
    </w:p>
    <w:p w14:paraId="5797E141">
      <w:pPr>
        <w:numPr>
          <w:ilvl w:val="0"/>
          <w:numId w:val="0"/>
        </w:numPr>
        <w:spacing w:line="360" w:lineRule="auto"/>
        <w:ind w:leftChars="0"/>
        <w:outlineLvl w:val="2"/>
        <w:rPr>
          <w:rFonts w:hint="eastAsia" w:ascii="等线" w:hAnsi="等线" w:eastAsia="等线"/>
          <w:b/>
          <w:bCs/>
          <w:color w:val="0070C0"/>
          <w:szCs w:val="21"/>
          <w:lang w:val="en-US" w:eastAsia="zh-CN" w:bidi="ar-SA"/>
        </w:rPr>
      </w:pPr>
      <w:r>
        <w:rPr>
          <w:rFonts w:hint="eastAsia" w:ascii="等线" w:hAnsi="等线" w:eastAsia="等线"/>
          <w:b/>
          <w:bCs/>
          <w:color w:val="0070C0"/>
          <w:szCs w:val="21"/>
          <w:lang w:val="en-US" w:eastAsia="zh-CN" w:bidi="ar-SA"/>
        </w:rPr>
        <w:t>六、培训与售后服务承诺</w:t>
      </w:r>
    </w:p>
    <w:p w14:paraId="77219100">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卖方对设备安装指导、负责调试、现场检查与培训方面应做出计划安排和相应承诺，确保买方技术人员能掌握设备相关性能、维护要领和操作要求。</w:t>
      </w:r>
    </w:p>
    <w:p w14:paraId="692D5C42">
      <w:pPr>
        <w:spacing w:line="420" w:lineRule="exact"/>
        <w:ind w:firstLine="472" w:firstLineChars="225"/>
        <w:jc w:val="left"/>
        <w:rPr>
          <w:rFonts w:hint="default" w:asciiTheme="minorEastAsia" w:hAnsiTheme="minorEastAsia" w:eastAsiaTheme="minorEastAsia" w:cstheme="minorEastAsia"/>
          <w:szCs w:val="21"/>
          <w:lang w:val="en-US" w:eastAsia="zh-CN" w:bidi="ar-SA"/>
        </w:rPr>
      </w:pPr>
      <w:r>
        <w:rPr>
          <w:rFonts w:hint="default" w:asciiTheme="minorEastAsia" w:hAnsiTheme="minorEastAsia" w:eastAsiaTheme="minorEastAsia" w:cstheme="minorEastAsia"/>
          <w:szCs w:val="21"/>
          <w:lang w:val="en-US" w:eastAsia="zh-CN" w:bidi="ar-SA"/>
        </w:rPr>
        <w:t>对设备投入运行后，为确保设备连续正常运行，卖方应提供有关部件和及时来现场解决问题的服务承诺及成套服务方案。</w:t>
      </w:r>
    </w:p>
    <w:p w14:paraId="26F0694D">
      <w:pPr>
        <w:widowControl w:val="0"/>
        <w:numPr>
          <w:numId w:val="0"/>
        </w:numPr>
        <w:spacing w:line="420" w:lineRule="exact"/>
        <w:jc w:val="left"/>
        <w:rPr>
          <w:rFonts w:hint="default" w:asciiTheme="minorEastAsia" w:hAnsiTheme="minorEastAsia" w:eastAsiaTheme="minorEastAsia" w:cstheme="minorEastAsia"/>
          <w:szCs w:val="21"/>
          <w:lang w:val="en-US" w:eastAsia="zh-CN" w:bidi="ar-SA"/>
        </w:rPr>
      </w:pPr>
    </w:p>
    <w:p w14:paraId="78EC68C9">
      <w:pPr>
        <w:widowControl w:val="0"/>
        <w:numPr>
          <w:numId w:val="0"/>
        </w:numPr>
        <w:spacing w:line="420" w:lineRule="exact"/>
        <w:jc w:val="left"/>
        <w:rPr>
          <w:rFonts w:hint="default" w:asciiTheme="minorEastAsia" w:hAnsiTheme="minorEastAsia" w:eastAsiaTheme="minorEastAsia" w:cstheme="minorEastAsia"/>
          <w:szCs w:val="21"/>
          <w:lang w:val="en-US" w:eastAsia="zh-CN" w:bidi="ar-SA"/>
        </w:rPr>
      </w:pPr>
    </w:p>
    <w:p w14:paraId="57BD1CBD">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七</w:t>
      </w:r>
      <w:r>
        <w:rPr>
          <w:rFonts w:hint="eastAsia" w:ascii="等线" w:hAnsi="等线" w:eastAsia="等线"/>
          <w:b/>
          <w:bCs/>
          <w:color w:val="0070C0"/>
          <w:szCs w:val="21"/>
        </w:rPr>
        <w:t>、报价方式及交货期、付款方式：</w:t>
      </w:r>
    </w:p>
    <w:p w14:paraId="3DF181DF">
      <w:pPr>
        <w:spacing w:line="400" w:lineRule="exact"/>
        <w:ind w:left="561" w:leftChars="267"/>
        <w:rPr>
          <w:rFonts w:hint="eastAsia" w:ascii="宋体" w:hAnsi="宋体" w:eastAsia="宋体" w:cs="宋体"/>
          <w:color w:val="FF0000"/>
          <w:sz w:val="21"/>
          <w:szCs w:val="21"/>
        </w:rPr>
      </w:pPr>
      <w:r>
        <w:rPr>
          <w:rFonts w:hint="eastAsia" w:ascii="宋体" w:hAnsi="宋体" w:eastAsia="宋体" w:cs="宋体"/>
          <w:color w:val="FF0000"/>
          <w:sz w:val="21"/>
          <w:szCs w:val="21"/>
        </w:rPr>
        <w:t>投标方报价应包含：</w:t>
      </w:r>
      <w:r>
        <w:rPr>
          <w:rFonts w:hint="eastAsia" w:ascii="宋体" w:hAnsi="宋体" w:cs="宋体"/>
          <w:color w:val="FF0000"/>
          <w:sz w:val="21"/>
          <w:szCs w:val="21"/>
          <w:lang w:val="en-US" w:eastAsia="zh-CN"/>
        </w:rPr>
        <w:t>设备、材料、人工等</w:t>
      </w:r>
      <w:r>
        <w:rPr>
          <w:rFonts w:hint="eastAsia" w:ascii="宋体" w:hAnsi="宋体" w:eastAsia="宋体" w:cs="宋体"/>
          <w:color w:val="FF0000"/>
          <w:sz w:val="21"/>
          <w:szCs w:val="21"/>
        </w:rPr>
        <w:t>；设备质保期经验收调试合格后</w:t>
      </w:r>
      <w:r>
        <w:rPr>
          <w:rFonts w:hint="eastAsia" w:ascii="宋体" w:hAnsi="宋体" w:cs="宋体"/>
          <w:color w:val="FF0000"/>
          <w:sz w:val="21"/>
          <w:szCs w:val="21"/>
          <w:lang w:val="en-US" w:eastAsia="zh-CN"/>
        </w:rPr>
        <w:t>2</w:t>
      </w:r>
      <w:r>
        <w:rPr>
          <w:rFonts w:hint="eastAsia" w:ascii="宋体" w:hAnsi="宋体" w:eastAsia="宋体" w:cs="宋体"/>
          <w:color w:val="FF0000"/>
          <w:sz w:val="21"/>
          <w:szCs w:val="21"/>
        </w:rPr>
        <w:t>年。</w:t>
      </w:r>
    </w:p>
    <w:p w14:paraId="528B0E31">
      <w:pPr>
        <w:spacing w:line="400" w:lineRule="exact"/>
        <w:ind w:left="561" w:leftChars="267"/>
        <w:rPr>
          <w:rFonts w:hint="eastAsia" w:ascii="宋体" w:hAnsi="宋体" w:eastAsia="宋体" w:cs="宋体"/>
          <w:b/>
          <w:bCs/>
          <w:color w:val="FF0000"/>
          <w:sz w:val="21"/>
          <w:szCs w:val="21"/>
        </w:rPr>
      </w:pPr>
      <w:r>
        <w:rPr>
          <w:rFonts w:hint="eastAsia" w:ascii="宋体" w:hAnsi="宋体" w:eastAsia="宋体" w:cs="宋体"/>
          <w:color w:val="FF0000"/>
          <w:sz w:val="21"/>
          <w:szCs w:val="21"/>
        </w:rPr>
        <w:t>付款方式为：</w:t>
      </w:r>
      <w:r>
        <w:rPr>
          <w:rFonts w:hint="eastAsia" w:ascii="宋体" w:hAnsi="宋体" w:eastAsia="宋体" w:cs="宋体"/>
          <w:color w:val="FF0000"/>
          <w:sz w:val="21"/>
          <w:szCs w:val="21"/>
          <w:u w:val="single"/>
          <w:lang w:val="en-US" w:eastAsia="zh-CN"/>
        </w:rPr>
        <w:t>预付10%，发货40%，验收40%，质保1年10%</w:t>
      </w:r>
      <w:r>
        <w:rPr>
          <w:rFonts w:hint="eastAsia" w:ascii="宋体" w:hAnsi="宋体" w:eastAsia="宋体" w:cs="宋体"/>
          <w:color w:val="FF0000"/>
          <w:sz w:val="21"/>
          <w:szCs w:val="21"/>
          <w:u w:val="double"/>
        </w:rPr>
        <w:t>。</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涉及不同付款方式，可在报价书内做商务偏离说明</w:t>
      </w:r>
      <w:r>
        <w:rPr>
          <w:rFonts w:hint="eastAsia" w:ascii="宋体" w:hAnsi="宋体" w:eastAsia="宋体" w:cs="宋体"/>
          <w:b/>
          <w:bCs/>
          <w:color w:val="FF0000"/>
          <w:sz w:val="21"/>
          <w:szCs w:val="21"/>
          <w:lang w:eastAsia="zh-CN"/>
        </w:rPr>
        <w:t>）</w:t>
      </w:r>
      <w:r>
        <w:rPr>
          <w:rFonts w:hint="eastAsia" w:ascii="宋体" w:hAnsi="宋体" w:eastAsia="宋体" w:cs="宋体"/>
          <w:b/>
          <w:bCs/>
          <w:color w:val="FF0000"/>
          <w:sz w:val="21"/>
          <w:szCs w:val="21"/>
        </w:rPr>
        <w:t>。</w:t>
      </w:r>
    </w:p>
    <w:p w14:paraId="7C4F2B6E">
      <w:pPr>
        <w:spacing w:line="400" w:lineRule="exact"/>
        <w:rPr>
          <w:rFonts w:hint="eastAsia"/>
          <w:b/>
          <w:bCs/>
          <w:color w:val="000000"/>
          <w:sz w:val="24"/>
        </w:rPr>
      </w:pPr>
    </w:p>
    <w:p w14:paraId="4386C449">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八</w:t>
      </w:r>
      <w:r>
        <w:rPr>
          <w:rFonts w:hint="eastAsia" w:ascii="等线" w:hAnsi="等线" w:eastAsia="等线"/>
          <w:b/>
          <w:bCs/>
          <w:color w:val="0070C0"/>
          <w:szCs w:val="21"/>
        </w:rPr>
        <w:t>、 投标商需提供投标文件的内容</w:t>
      </w:r>
    </w:p>
    <w:p w14:paraId="42CD0366">
      <w:pPr>
        <w:widowControl/>
        <w:spacing w:before="156" w:beforeLines="50" w:line="400" w:lineRule="exact"/>
        <w:jc w:val="left"/>
        <w:rPr>
          <w:rFonts w:hint="eastAsia" w:ascii="宋体" w:hAnsi="宋体" w:eastAsia="宋体" w:cs="宋体"/>
          <w:sz w:val="21"/>
          <w:szCs w:val="21"/>
        </w:rPr>
      </w:pPr>
      <w:r>
        <w:rPr>
          <w:rFonts w:hint="eastAsia" w:ascii="宋体" w:hAnsi="宋体" w:eastAsia="宋体" w:cs="宋体"/>
          <w:sz w:val="21"/>
          <w:szCs w:val="21"/>
        </w:rPr>
        <w:t>1、企业资质文件</w:t>
      </w:r>
    </w:p>
    <w:p w14:paraId="576D3ADF">
      <w:pPr>
        <w:spacing w:line="400" w:lineRule="exact"/>
        <w:ind w:left="561" w:leftChars="267"/>
        <w:rPr>
          <w:rFonts w:hint="eastAsia" w:ascii="宋体" w:hAnsi="宋体" w:eastAsia="宋体" w:cs="宋体"/>
          <w:color w:val="000000"/>
          <w:sz w:val="21"/>
          <w:szCs w:val="21"/>
        </w:rPr>
      </w:pPr>
      <w:r>
        <w:rPr>
          <w:rFonts w:hint="eastAsia" w:ascii="宋体" w:hAnsi="宋体" w:eastAsia="宋体" w:cs="宋体"/>
          <w:color w:val="000000"/>
          <w:sz w:val="21"/>
          <w:szCs w:val="21"/>
        </w:rPr>
        <w:t xml:space="preserve">提供：公司介绍文本、营业执照（三证合一）、银行开户许可证、法人授权委托书、投标对接人身份证复印件（务必备注联系方式）、财务审计报告、质量管理体系认证证书、行业/生产资质证书；报价公司对本次项目的专项授权及承诺书等有效资质证明（如：代理证书等）；最近3-5年内同类设备/系统的销售业绩表，用户名称、时间、联系方式及用户意见等。 </w:t>
      </w:r>
    </w:p>
    <w:p w14:paraId="7D10DC39">
      <w:pPr>
        <w:spacing w:line="400" w:lineRule="exact"/>
        <w:rPr>
          <w:rFonts w:hint="eastAsia" w:ascii="宋体" w:hAnsi="宋体" w:eastAsia="宋体" w:cs="宋体"/>
          <w:sz w:val="21"/>
          <w:szCs w:val="21"/>
        </w:rPr>
      </w:pPr>
      <w:r>
        <w:rPr>
          <w:rFonts w:hint="eastAsia" w:ascii="宋体" w:hAnsi="宋体" w:eastAsia="宋体" w:cs="宋体"/>
          <w:sz w:val="21"/>
          <w:szCs w:val="21"/>
        </w:rPr>
        <w:t>2、技术文件：</w:t>
      </w:r>
    </w:p>
    <w:p w14:paraId="416F611C">
      <w:pPr>
        <w:spacing w:line="400" w:lineRule="exact"/>
        <w:ind w:left="414" w:leftChars="197"/>
        <w:rPr>
          <w:rFonts w:hint="eastAsia" w:ascii="宋体" w:hAnsi="宋体" w:eastAsia="宋体" w:cs="宋体"/>
          <w:sz w:val="21"/>
          <w:szCs w:val="21"/>
        </w:rPr>
      </w:pPr>
      <w:r>
        <w:rPr>
          <w:rFonts w:hint="eastAsia" w:ascii="宋体" w:hAnsi="宋体" w:eastAsia="宋体" w:cs="宋体"/>
          <w:sz w:val="21"/>
          <w:szCs w:val="21"/>
        </w:rPr>
        <w:t>1、投标设备的制造标准；投标设备的技术规范书按招标设备的技术要求应详细说明设备配置、产商、核心配件/组件品牌和设备各部分性能特点，技术参数，外形图，部件的结构、材料，电控系统说明，随机备件清单，随机技术资料目录，技术服务承诺，质量保证承诺等</w:t>
      </w:r>
    </w:p>
    <w:p w14:paraId="213251D8">
      <w:pPr>
        <w:spacing w:line="400" w:lineRule="exact"/>
        <w:ind w:left="414" w:leftChars="197"/>
        <w:rPr>
          <w:rFonts w:hint="eastAsia" w:ascii="宋体" w:hAnsi="宋体" w:eastAsia="宋体" w:cs="宋体"/>
          <w:sz w:val="21"/>
          <w:szCs w:val="21"/>
        </w:rPr>
      </w:pPr>
      <w:r>
        <w:rPr>
          <w:rFonts w:hint="eastAsia" w:ascii="宋体" w:hAnsi="宋体" w:eastAsia="宋体" w:cs="宋体"/>
          <w:sz w:val="21"/>
          <w:szCs w:val="21"/>
        </w:rPr>
        <w:t>2、根据我司技术要求及后期技术答疑内容，明确所报材料：名称+材质+规格型号+数量等核心信息</w:t>
      </w:r>
    </w:p>
    <w:p w14:paraId="40C75B25">
      <w:pPr>
        <w:spacing w:line="400" w:lineRule="exact"/>
        <w:rPr>
          <w:rFonts w:hint="eastAsia" w:ascii="宋体" w:hAnsi="宋体" w:eastAsia="宋体" w:cs="宋体"/>
          <w:sz w:val="21"/>
          <w:szCs w:val="21"/>
        </w:rPr>
      </w:pPr>
      <w:r>
        <w:rPr>
          <w:rFonts w:hint="eastAsia" w:ascii="宋体" w:hAnsi="宋体" w:eastAsia="宋体" w:cs="宋体"/>
          <w:sz w:val="21"/>
          <w:szCs w:val="21"/>
        </w:rPr>
        <w:t>3、商务文件：</w:t>
      </w:r>
    </w:p>
    <w:p w14:paraId="4A9AA842">
      <w:pPr>
        <w:spacing w:line="400" w:lineRule="exact"/>
        <w:ind w:left="420" w:leftChars="200"/>
        <w:rPr>
          <w:rFonts w:hint="eastAsia" w:ascii="宋体" w:hAnsi="宋体" w:eastAsia="宋体" w:cs="宋体"/>
          <w:sz w:val="21"/>
          <w:szCs w:val="21"/>
        </w:rPr>
      </w:pPr>
      <w:r>
        <w:rPr>
          <w:rFonts w:hint="eastAsia" w:ascii="宋体" w:hAnsi="宋体" w:eastAsia="宋体" w:cs="宋体"/>
          <w:sz w:val="21"/>
          <w:szCs w:val="21"/>
        </w:rPr>
        <w:t>投标设备的响应交货期；投标设备各组成部份（分项报价明细）、设备常用备品备件（明确品牌型号后分项报价）、；付款方式确认（明确付款比例+电汇/银承等）。</w:t>
      </w:r>
    </w:p>
    <w:p w14:paraId="4B0E722E">
      <w:pPr>
        <w:widowControl/>
        <w:spacing w:before="156" w:beforeLines="50" w:line="400" w:lineRule="exact"/>
        <w:ind w:left="360" w:hanging="315" w:hangingChars="150"/>
        <w:jc w:val="left"/>
        <w:rPr>
          <w:rFonts w:hint="eastAsia" w:ascii="宋体" w:hAnsi="宋体" w:eastAsia="宋体" w:cs="宋体"/>
          <w:sz w:val="21"/>
          <w:szCs w:val="21"/>
        </w:rPr>
      </w:pPr>
      <w:r>
        <w:rPr>
          <w:rFonts w:hint="eastAsia" w:ascii="宋体" w:hAnsi="宋体" w:eastAsia="宋体" w:cs="宋体"/>
          <w:sz w:val="21"/>
          <w:szCs w:val="21"/>
        </w:rPr>
        <w:t>4</w:t>
      </w:r>
      <w:r>
        <w:rPr>
          <w:rFonts w:hint="eastAsia" w:ascii="宋体" w:hAnsi="宋体" w:eastAsia="宋体" w:cs="宋体"/>
          <w:color w:val="FF0000"/>
          <w:sz w:val="21"/>
          <w:szCs w:val="21"/>
        </w:rPr>
        <w:t>、</w:t>
      </w:r>
      <w:r>
        <w:rPr>
          <w:rFonts w:hint="eastAsia" w:ascii="宋体" w:hAnsi="宋体" w:eastAsia="宋体" w:cs="宋体"/>
          <w:b/>
          <w:bCs/>
          <w:color w:val="FF0000"/>
          <w:sz w:val="21"/>
          <w:szCs w:val="21"/>
        </w:rPr>
        <w:t>投标书正本</w:t>
      </w:r>
      <w:r>
        <w:rPr>
          <w:rFonts w:hint="eastAsia" w:ascii="宋体" w:hAnsi="宋体" w:eastAsia="宋体" w:cs="宋体"/>
          <w:b/>
          <w:bCs/>
          <w:color w:val="FF0000"/>
          <w:sz w:val="21"/>
          <w:szCs w:val="21"/>
          <w:lang w:val="en-US" w:eastAsia="zh-CN"/>
        </w:rPr>
        <w:t>一</w:t>
      </w:r>
      <w:r>
        <w:rPr>
          <w:rFonts w:hint="eastAsia" w:ascii="宋体" w:hAnsi="宋体" w:eastAsia="宋体" w:cs="宋体"/>
          <w:b/>
          <w:bCs/>
          <w:color w:val="FF0000"/>
          <w:sz w:val="21"/>
          <w:szCs w:val="21"/>
        </w:rPr>
        <w:t>份，副本</w:t>
      </w:r>
      <w:r>
        <w:rPr>
          <w:rFonts w:hint="eastAsia" w:ascii="宋体" w:hAnsi="宋体" w:eastAsia="宋体" w:cs="宋体"/>
          <w:b/>
          <w:bCs/>
          <w:color w:val="FF0000"/>
          <w:sz w:val="21"/>
          <w:szCs w:val="21"/>
          <w:lang w:val="en-US" w:eastAsia="zh-CN"/>
        </w:rPr>
        <w:t>一</w:t>
      </w:r>
      <w:r>
        <w:rPr>
          <w:rFonts w:hint="eastAsia" w:ascii="宋体" w:hAnsi="宋体" w:eastAsia="宋体" w:cs="宋体"/>
          <w:b/>
          <w:bCs/>
          <w:color w:val="FF0000"/>
          <w:sz w:val="21"/>
          <w:szCs w:val="21"/>
        </w:rPr>
        <w:t>份，投标文件须密封并在封口签字或加盖公章(需在快递外包袋上注明</w:t>
      </w:r>
      <w:r>
        <w:rPr>
          <w:rFonts w:hint="eastAsia" w:ascii="宋体" w:hAnsi="宋体" w:eastAsia="宋体" w:cs="宋体"/>
          <w:b/>
          <w:bCs/>
          <w:color w:val="FF0000"/>
          <w:sz w:val="21"/>
          <w:szCs w:val="21"/>
          <w:u w:val="double"/>
        </w:rPr>
        <w:t>公司简称+标书</w:t>
      </w:r>
      <w:r>
        <w:rPr>
          <w:rFonts w:hint="eastAsia" w:ascii="宋体" w:hAnsi="宋体" w:eastAsia="宋体" w:cs="宋体"/>
          <w:b/>
          <w:bCs/>
          <w:color w:val="FF0000"/>
          <w:sz w:val="21"/>
          <w:szCs w:val="21"/>
        </w:rPr>
        <w:t>字样)。</w:t>
      </w:r>
    </w:p>
    <w:p w14:paraId="2DD36C34">
      <w:pPr>
        <w:widowControl/>
        <w:spacing w:before="156" w:beforeLines="50" w:line="400" w:lineRule="exact"/>
        <w:jc w:val="left"/>
        <w:rPr>
          <w:rFonts w:hint="eastAsia" w:ascii="宋体" w:hAnsi="宋体" w:eastAsia="宋体" w:cs="宋体"/>
          <w:sz w:val="21"/>
          <w:szCs w:val="21"/>
        </w:rPr>
      </w:pPr>
      <w:r>
        <w:rPr>
          <w:rFonts w:hint="eastAsia" w:ascii="宋体" w:hAnsi="宋体" w:eastAsia="宋体" w:cs="宋体"/>
          <w:sz w:val="21"/>
          <w:szCs w:val="21"/>
        </w:rPr>
        <w:t>注：商务标书与技术标分开装订，可并包快递或送达（商务报价独立密封+商务标书独立密封+技术标书独立密封=并包快递/送达）</w:t>
      </w:r>
    </w:p>
    <w:p w14:paraId="22DF18BF">
      <w:pPr>
        <w:widowControl/>
        <w:spacing w:before="156" w:beforeLines="50" w:line="400" w:lineRule="exact"/>
        <w:jc w:val="left"/>
        <w:rPr>
          <w:rFonts w:hint="eastAsia" w:ascii="宋体" w:hAnsi="宋体" w:eastAsia="宋体" w:cs="宋体"/>
          <w:sz w:val="21"/>
          <w:szCs w:val="21"/>
        </w:rPr>
      </w:pPr>
    </w:p>
    <w:p w14:paraId="5839A8B0">
      <w:pPr>
        <w:spacing w:line="420" w:lineRule="exact"/>
        <w:ind w:leftChars="-67" w:hanging="141" w:hangingChars="67"/>
        <w:jc w:val="left"/>
        <w:rPr>
          <w:rFonts w:ascii="等线" w:hAnsi="等线" w:eastAsia="等线"/>
          <w:b/>
          <w:bCs/>
          <w:color w:val="0070C0"/>
          <w:szCs w:val="21"/>
        </w:rPr>
      </w:pPr>
      <w:r>
        <w:rPr>
          <w:rFonts w:hint="eastAsia" w:ascii="等线" w:hAnsi="等线" w:eastAsia="等线"/>
          <w:b/>
          <w:bCs/>
          <w:color w:val="0070C0"/>
          <w:szCs w:val="21"/>
          <w:lang w:val="en-US" w:eastAsia="zh-CN"/>
        </w:rPr>
        <w:t>九</w:t>
      </w:r>
      <w:r>
        <w:rPr>
          <w:rFonts w:hint="eastAsia" w:ascii="等线" w:hAnsi="等线" w:eastAsia="等线"/>
          <w:b/>
          <w:bCs/>
          <w:color w:val="0070C0"/>
          <w:szCs w:val="21"/>
        </w:rPr>
        <w:t>、投标方需要说明的其它事项：</w:t>
      </w:r>
    </w:p>
    <w:p w14:paraId="7184F521">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1、本标书仅提供了招标设备的基本参数及要求，投标方不能因招标书的限定而免除对投标设备应满足招标方其它要求应承担的责任。</w:t>
      </w:r>
    </w:p>
    <w:p w14:paraId="26CEB18B">
      <w:pPr>
        <w:spacing w:line="400" w:lineRule="exact"/>
        <w:ind w:firstLine="105" w:firstLineChars="50"/>
        <w:rPr>
          <w:rFonts w:hint="eastAsia" w:ascii="宋体" w:hAnsi="宋体" w:eastAsia="宋体" w:cs="宋体"/>
          <w:sz w:val="21"/>
          <w:szCs w:val="21"/>
        </w:rPr>
      </w:pPr>
      <w:r>
        <w:rPr>
          <w:rFonts w:hint="eastAsia" w:ascii="宋体" w:hAnsi="宋体" w:eastAsia="宋体" w:cs="宋体"/>
          <w:sz w:val="21"/>
          <w:szCs w:val="21"/>
        </w:rPr>
        <w:t>2、招标方在合同签定之前有权对设备采购数量和性能参数进行调整。</w:t>
      </w:r>
    </w:p>
    <w:p w14:paraId="447B23BB">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3、</w:t>
      </w:r>
      <w:r>
        <w:rPr>
          <w:rFonts w:hint="eastAsia" w:ascii="宋体" w:hAnsi="宋体" w:eastAsia="宋体" w:cs="宋体"/>
          <w:color w:val="FF0000"/>
          <w:sz w:val="21"/>
          <w:szCs w:val="21"/>
        </w:rPr>
        <w:t>本次招标项目截止时间为</w:t>
      </w:r>
      <w:r>
        <w:rPr>
          <w:rFonts w:hint="eastAsia" w:ascii="宋体" w:hAnsi="宋体" w:eastAsia="宋体" w:cs="宋体"/>
          <w:color w:val="FF0000"/>
          <w:sz w:val="21"/>
          <w:szCs w:val="21"/>
          <w:u w:val="single"/>
        </w:rPr>
        <w:t>202</w:t>
      </w:r>
      <w:r>
        <w:rPr>
          <w:rFonts w:hint="eastAsia" w:ascii="宋体" w:hAnsi="宋体" w:cs="宋体"/>
          <w:color w:val="FF0000"/>
          <w:sz w:val="21"/>
          <w:szCs w:val="21"/>
          <w:u w:val="single"/>
          <w:lang w:val="en-US" w:eastAsia="zh-CN"/>
        </w:rPr>
        <w:t>6</w:t>
      </w:r>
      <w:r>
        <w:rPr>
          <w:rFonts w:hint="eastAsia" w:ascii="宋体" w:hAnsi="宋体" w:eastAsia="宋体" w:cs="宋体"/>
          <w:color w:val="FF0000"/>
          <w:sz w:val="21"/>
          <w:szCs w:val="21"/>
          <w:u w:val="single"/>
        </w:rPr>
        <w:t>年</w:t>
      </w:r>
      <w:r>
        <w:rPr>
          <w:rFonts w:hint="eastAsia" w:ascii="宋体" w:hAnsi="宋体" w:cs="宋体"/>
          <w:color w:val="FF0000"/>
          <w:sz w:val="21"/>
          <w:szCs w:val="21"/>
          <w:u w:val="single"/>
          <w:lang w:val="en-US" w:eastAsia="zh-CN"/>
        </w:rPr>
        <w:t>8</w:t>
      </w:r>
      <w:r>
        <w:rPr>
          <w:rFonts w:hint="eastAsia" w:ascii="宋体" w:hAnsi="宋体" w:eastAsia="宋体" w:cs="宋体"/>
          <w:color w:val="FF0000"/>
          <w:sz w:val="21"/>
          <w:szCs w:val="21"/>
          <w:u w:val="single"/>
        </w:rPr>
        <w:t>月</w:t>
      </w:r>
      <w:r>
        <w:rPr>
          <w:rFonts w:hint="eastAsia" w:ascii="宋体" w:hAnsi="宋体" w:cs="宋体"/>
          <w:color w:val="FF0000"/>
          <w:sz w:val="21"/>
          <w:szCs w:val="21"/>
          <w:u w:val="single"/>
          <w:lang w:val="en-US" w:eastAsia="zh-CN"/>
        </w:rPr>
        <w:t>13</w:t>
      </w:r>
      <w:r>
        <w:rPr>
          <w:rFonts w:hint="eastAsia" w:ascii="宋体" w:hAnsi="宋体" w:eastAsia="宋体" w:cs="宋体"/>
          <w:color w:val="FF0000"/>
          <w:sz w:val="21"/>
          <w:szCs w:val="21"/>
          <w:u w:val="single"/>
        </w:rPr>
        <w:t>日17:00</w:t>
      </w:r>
      <w:r>
        <w:rPr>
          <w:rFonts w:hint="eastAsia" w:ascii="宋体" w:hAnsi="宋体" w:eastAsia="宋体" w:cs="宋体"/>
          <w:color w:val="FF0000"/>
          <w:sz w:val="21"/>
          <w:szCs w:val="21"/>
        </w:rPr>
        <w:t>时,投标方将投标书以快件形式寄送/送达招标方</w:t>
      </w:r>
      <w:r>
        <w:rPr>
          <w:rFonts w:hint="eastAsia" w:ascii="宋体" w:hAnsi="宋体" w:eastAsia="宋体" w:cs="宋体"/>
          <w:sz w:val="21"/>
          <w:szCs w:val="21"/>
        </w:rPr>
        <w:t xml:space="preserve">。   </w:t>
      </w:r>
    </w:p>
    <w:p w14:paraId="7F74A6E3">
      <w:pPr>
        <w:spacing w:line="400" w:lineRule="exact"/>
        <w:ind w:firstLine="105" w:firstLineChars="50"/>
        <w:rPr>
          <w:rFonts w:hint="eastAsia" w:ascii="宋体" w:hAnsi="宋体" w:eastAsia="宋体" w:cs="宋体"/>
          <w:sz w:val="21"/>
          <w:szCs w:val="21"/>
        </w:rPr>
      </w:pPr>
      <w:r>
        <w:rPr>
          <w:rFonts w:hint="eastAsia" w:ascii="宋体" w:hAnsi="宋体" w:eastAsia="宋体" w:cs="宋体"/>
          <w:sz w:val="21"/>
          <w:szCs w:val="21"/>
        </w:rPr>
        <w:t xml:space="preserve">4、本次招标开标时不邀请投标方派员参加。 </w:t>
      </w:r>
    </w:p>
    <w:p w14:paraId="237AA4A5">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5、届时由招标方邀请有关方面专家对标书进行评审，根据评审情况通知投标方对投标设备标书内容作进一步交流澄清，投标方就相关问题作书面承诺。</w:t>
      </w:r>
    </w:p>
    <w:p w14:paraId="2FBE28CA">
      <w:pPr>
        <w:spacing w:line="400" w:lineRule="exact"/>
        <w:ind w:left="456" w:leftChars="67" w:hanging="315" w:hangingChars="150"/>
        <w:rPr>
          <w:rFonts w:hint="eastAsia" w:ascii="宋体" w:hAnsi="宋体" w:eastAsia="宋体" w:cs="宋体"/>
          <w:sz w:val="21"/>
          <w:szCs w:val="21"/>
        </w:rPr>
      </w:pPr>
      <w:r>
        <w:rPr>
          <w:rFonts w:hint="eastAsia" w:ascii="宋体" w:hAnsi="宋体" w:eastAsia="宋体" w:cs="宋体"/>
          <w:sz w:val="21"/>
          <w:szCs w:val="21"/>
        </w:rPr>
        <w:t>6、招标方依据评审和答疑结果确定中标单位，并通知中标单位签订合同、技术协议等文件，对未中标单位招标方不作解释。</w:t>
      </w:r>
    </w:p>
    <w:p w14:paraId="7D3BC3F5">
      <w:pPr>
        <w:spacing w:line="400" w:lineRule="exact"/>
        <w:ind w:left="501" w:leftChars="67" w:hanging="360" w:hangingChars="150"/>
        <w:rPr>
          <w:rFonts w:hint="eastAsia"/>
          <w:sz w:val="24"/>
          <w:lang w:val="en-US" w:eastAsia="zh-CN"/>
        </w:rPr>
      </w:pPr>
    </w:p>
    <w:p w14:paraId="2D308010">
      <w:pPr>
        <w:spacing w:line="420" w:lineRule="exact"/>
        <w:ind w:leftChars="-67" w:hanging="141" w:hangingChars="67"/>
        <w:jc w:val="left"/>
        <w:rPr>
          <w:rFonts w:hint="eastAsia" w:ascii="等线" w:hAnsi="等线" w:eastAsia="等线"/>
          <w:b/>
          <w:bCs/>
          <w:color w:val="0070C0"/>
          <w:szCs w:val="21"/>
        </w:rPr>
      </w:pPr>
      <w:r>
        <w:rPr>
          <w:rFonts w:hint="eastAsia" w:ascii="等线" w:hAnsi="等线" w:eastAsia="等线"/>
          <w:b/>
          <w:bCs/>
          <w:color w:val="0070C0"/>
          <w:szCs w:val="21"/>
          <w:lang w:val="en-US" w:eastAsia="zh-CN"/>
        </w:rPr>
        <w:t>十</w:t>
      </w:r>
      <w:r>
        <w:rPr>
          <w:rFonts w:hint="eastAsia" w:ascii="等线" w:hAnsi="等线" w:eastAsia="等线"/>
          <w:b/>
          <w:bCs/>
          <w:color w:val="0070C0"/>
          <w:szCs w:val="21"/>
        </w:rPr>
        <w:t>、 标书接收形式及方式</w:t>
      </w:r>
    </w:p>
    <w:p w14:paraId="75341061">
      <w:pPr>
        <w:spacing w:line="400" w:lineRule="exact"/>
        <w:ind w:left="501" w:leftChars="67" w:hanging="360" w:hangingChars="150"/>
        <w:rPr>
          <w:sz w:val="24"/>
        </w:rPr>
      </w:pPr>
    </w:p>
    <w:p w14:paraId="200EC298">
      <w:pPr>
        <w:ind w:firstLine="210" w:firstLineChars="100"/>
        <w:rPr>
          <w:rFonts w:hint="eastAsia" w:ascii="宋体" w:hAnsi="宋体" w:eastAsia="宋体" w:cs="宋体"/>
          <w:sz w:val="21"/>
          <w:szCs w:val="21"/>
        </w:rPr>
      </w:pPr>
      <w:r>
        <w:rPr>
          <w:rFonts w:hint="eastAsia" w:ascii="宋体" w:hAnsi="宋体" w:eastAsia="宋体" w:cs="宋体"/>
          <w:sz w:val="21"/>
          <w:szCs w:val="21"/>
          <w:lang w:val="en-US" w:eastAsia="zh-CN"/>
        </w:rPr>
        <w:t>1、</w:t>
      </w:r>
      <w:r>
        <w:rPr>
          <w:rFonts w:hint="eastAsia" w:ascii="宋体" w:hAnsi="宋体" w:eastAsia="宋体" w:cs="宋体"/>
          <w:sz w:val="21"/>
          <w:szCs w:val="21"/>
        </w:rPr>
        <w:t>标书接收人：</w:t>
      </w:r>
      <w:r>
        <w:rPr>
          <w:rFonts w:hint="eastAsia" w:ascii="宋体" w:hAnsi="宋体" w:cs="宋体"/>
          <w:sz w:val="21"/>
          <w:szCs w:val="21"/>
          <w:lang w:val="en-US" w:eastAsia="zh-CN"/>
        </w:rPr>
        <w:t>徐云飞</w:t>
      </w:r>
      <w:r>
        <w:rPr>
          <w:rFonts w:hint="eastAsia" w:ascii="宋体" w:hAnsi="宋体" w:eastAsia="宋体" w:cs="宋体"/>
          <w:sz w:val="21"/>
          <w:szCs w:val="21"/>
        </w:rPr>
        <w:t xml:space="preserve">   </w:t>
      </w:r>
      <w:r>
        <w:rPr>
          <w:rFonts w:hint="eastAsia" w:ascii="宋体" w:hAnsi="宋体" w:eastAsia="宋体" w:cs="宋体"/>
          <w:sz w:val="21"/>
          <w:szCs w:val="21"/>
          <w:lang w:val="en-US" w:eastAsia="zh-CN"/>
        </w:rPr>
        <w:t>18861775801</w:t>
      </w:r>
      <w:r>
        <w:rPr>
          <w:rFonts w:hint="eastAsia" w:ascii="宋体" w:hAnsi="宋体" w:eastAsia="宋体" w:cs="宋体"/>
          <w:sz w:val="21"/>
          <w:szCs w:val="21"/>
        </w:rPr>
        <w:t xml:space="preserve">    </w:t>
      </w:r>
    </w:p>
    <w:p w14:paraId="003C0824">
      <w:pPr>
        <w:rPr>
          <w:rFonts w:hint="eastAsia" w:ascii="宋体" w:hAnsi="宋体" w:eastAsia="宋体" w:cs="宋体"/>
          <w:sz w:val="21"/>
          <w:szCs w:val="21"/>
        </w:rPr>
      </w:pPr>
    </w:p>
    <w:p w14:paraId="3D80E63B">
      <w:pPr>
        <w:numPr>
          <w:ilvl w:val="0"/>
          <w:numId w:val="3"/>
        </w:numPr>
        <w:ind w:firstLine="210" w:firstLineChars="100"/>
        <w:rPr>
          <w:rFonts w:hint="eastAsia" w:ascii="宋体" w:hAnsi="宋体" w:eastAsia="宋体" w:cs="宋体"/>
          <w:sz w:val="21"/>
          <w:szCs w:val="21"/>
          <w:lang w:val="en-US" w:eastAsia="zh-CN"/>
        </w:rPr>
      </w:pPr>
      <w:r>
        <w:rPr>
          <w:rFonts w:hint="eastAsia" w:ascii="宋体" w:hAnsi="宋体" w:eastAsia="宋体" w:cs="宋体"/>
          <w:sz w:val="21"/>
          <w:szCs w:val="21"/>
        </w:rPr>
        <w:t>技术答疑人：</w:t>
      </w:r>
      <w:r>
        <w:rPr>
          <w:rFonts w:hint="eastAsia" w:ascii="宋体" w:hAnsi="宋体" w:eastAsia="宋体" w:cs="宋体"/>
          <w:sz w:val="21"/>
          <w:szCs w:val="21"/>
          <w:lang w:val="en-US" w:eastAsia="zh-CN"/>
        </w:rPr>
        <w:t xml:space="preserve">黄兴佳  </w:t>
      </w:r>
      <w:r>
        <w:rPr>
          <w:rFonts w:hint="eastAsia" w:ascii="宋体" w:hAnsi="宋体" w:cs="宋体"/>
          <w:sz w:val="21"/>
          <w:szCs w:val="21"/>
          <w:lang w:val="en-US" w:eastAsia="zh-CN"/>
        </w:rPr>
        <w:t xml:space="preserve"> </w:t>
      </w:r>
      <w:r>
        <w:rPr>
          <w:rFonts w:hint="eastAsia" w:ascii="宋体" w:hAnsi="宋体" w:eastAsia="宋体" w:cs="宋体"/>
          <w:sz w:val="21"/>
          <w:szCs w:val="21"/>
          <w:lang w:val="en-US" w:eastAsia="zh-CN"/>
        </w:rPr>
        <w:t xml:space="preserve">18861776865   </w:t>
      </w:r>
    </w:p>
    <w:p w14:paraId="3678927E">
      <w:pPr>
        <w:numPr>
          <w:ilvl w:val="0"/>
          <w:numId w:val="0"/>
        </w:numPr>
        <w:rPr>
          <w:rFonts w:hint="eastAsia" w:ascii="宋体" w:hAnsi="宋体" w:eastAsia="宋体" w:cs="宋体"/>
          <w:sz w:val="21"/>
          <w:szCs w:val="21"/>
        </w:rPr>
      </w:pPr>
      <w:r>
        <w:rPr>
          <w:rFonts w:hint="eastAsia" w:ascii="宋体" w:hAnsi="宋体" w:eastAsia="宋体" w:cs="宋体"/>
          <w:sz w:val="21"/>
          <w:szCs w:val="21"/>
        </w:rPr>
        <w:t xml:space="preserve">  </w:t>
      </w:r>
    </w:p>
    <w:p w14:paraId="23B39022">
      <w:pPr>
        <w:ind w:firstLine="210" w:firstLineChars="100"/>
        <w:rPr>
          <w:rFonts w:hint="default" w:ascii="宋体" w:hAnsi="宋体" w:eastAsia="宋体" w:cs="宋体"/>
          <w:sz w:val="21"/>
          <w:szCs w:val="21"/>
          <w:lang w:val="en-US" w:eastAsia="zh-CN"/>
        </w:rPr>
      </w:pPr>
      <w:r>
        <w:rPr>
          <w:rFonts w:hint="eastAsia" w:ascii="宋体" w:hAnsi="宋体" w:eastAsia="宋体" w:cs="宋体"/>
          <w:sz w:val="21"/>
          <w:szCs w:val="21"/>
          <w:lang w:val="en-US" w:eastAsia="zh-CN"/>
        </w:rPr>
        <w:t>3、</w:t>
      </w:r>
      <w:r>
        <w:rPr>
          <w:rFonts w:hint="eastAsia" w:ascii="宋体" w:hAnsi="宋体" w:eastAsia="宋体" w:cs="宋体"/>
          <w:sz w:val="21"/>
          <w:szCs w:val="21"/>
        </w:rPr>
        <w:t>标书接收地址：</w:t>
      </w:r>
      <w:r>
        <w:rPr>
          <w:rFonts w:hint="eastAsia" w:ascii="宋体" w:hAnsi="宋体" w:cs="宋体"/>
          <w:sz w:val="21"/>
          <w:szCs w:val="21"/>
          <w:lang w:val="en-US" w:eastAsia="zh-CN"/>
        </w:rPr>
        <w:t>江苏省南通市如东县长沙镇远东海缆有限公司科技楼308室</w:t>
      </w:r>
    </w:p>
    <w:p w14:paraId="1E67E415">
      <w:pPr>
        <w:spacing w:line="360" w:lineRule="exact"/>
        <w:ind w:left="480" w:hanging="480" w:hangingChars="200"/>
        <w:rPr>
          <w:color w:val="0000FF"/>
          <w:sz w:val="24"/>
          <w:u w:val="single"/>
        </w:rPr>
      </w:pPr>
    </w:p>
    <w:p w14:paraId="76B22513">
      <w:pPr>
        <w:spacing w:line="360" w:lineRule="auto"/>
        <w:jc w:val="center"/>
        <w:rPr>
          <w:sz w:val="24"/>
        </w:rPr>
      </w:pPr>
    </w:p>
    <w:sectPr>
      <w:footerReference r:id="rId3" w:type="default"/>
      <w:pgSz w:w="11906" w:h="16838"/>
      <w:pgMar w:top="1418" w:right="1133" w:bottom="1135" w:left="900" w:header="851" w:footer="50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Verdana">
    <w:panose1 w:val="020B0604030504040204"/>
    <w:charset w:val="00"/>
    <w:family w:val="auto"/>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7CCC4">
    <w:pPr>
      <w:pStyle w:val="11"/>
      <w:jc w:val="center"/>
      <w:rPr>
        <w:rFonts w:ascii="宋体"/>
        <w:sz w:val="24"/>
        <w:szCs w:val="24"/>
      </w:rPr>
    </w:pPr>
    <w:r>
      <w:rPr>
        <w:rStyle w:val="20"/>
        <w:rFonts w:ascii="宋体" w:hAnsi="宋体"/>
        <w:sz w:val="24"/>
        <w:szCs w:val="24"/>
      </w:rPr>
      <w:fldChar w:fldCharType="begin"/>
    </w:r>
    <w:r>
      <w:rPr>
        <w:rStyle w:val="20"/>
        <w:rFonts w:ascii="宋体" w:hAnsi="宋体"/>
        <w:sz w:val="24"/>
        <w:szCs w:val="24"/>
      </w:rPr>
      <w:instrText xml:space="preserve"> PAGE </w:instrText>
    </w:r>
    <w:r>
      <w:rPr>
        <w:rStyle w:val="20"/>
        <w:rFonts w:ascii="宋体" w:hAnsi="宋体"/>
        <w:sz w:val="24"/>
        <w:szCs w:val="24"/>
      </w:rPr>
      <w:fldChar w:fldCharType="separate"/>
    </w:r>
    <w:r>
      <w:rPr>
        <w:rStyle w:val="20"/>
        <w:rFonts w:ascii="宋体" w:hAnsi="宋体"/>
        <w:sz w:val="24"/>
        <w:szCs w:val="24"/>
      </w:rPr>
      <w:t>4</w:t>
    </w:r>
    <w:r>
      <w:rPr>
        <w:rStyle w:val="20"/>
        <w:rFonts w:ascii="宋体" w:hAnsi="宋体"/>
        <w:sz w:val="24"/>
        <w:szCs w:val="24"/>
      </w:rPr>
      <w:fldChar w:fldCharType="end"/>
    </w:r>
    <w:r>
      <w:rPr>
        <w:rStyle w:val="20"/>
        <w:rFonts w:ascii="宋体" w:hAnsi="宋体"/>
        <w:sz w:val="24"/>
        <w:szCs w:val="24"/>
      </w:rPr>
      <w:t>/</w:t>
    </w:r>
    <w:r>
      <w:rPr>
        <w:rStyle w:val="20"/>
        <w:rFonts w:ascii="宋体" w:hAnsi="宋体"/>
        <w:sz w:val="24"/>
        <w:szCs w:val="24"/>
      </w:rPr>
      <w:fldChar w:fldCharType="begin"/>
    </w:r>
    <w:r>
      <w:rPr>
        <w:rStyle w:val="20"/>
        <w:rFonts w:ascii="宋体" w:hAnsi="宋体"/>
        <w:sz w:val="24"/>
        <w:szCs w:val="24"/>
      </w:rPr>
      <w:instrText xml:space="preserve"> NUMPAGES </w:instrText>
    </w:r>
    <w:r>
      <w:rPr>
        <w:rStyle w:val="20"/>
        <w:rFonts w:ascii="宋体" w:hAnsi="宋体"/>
        <w:sz w:val="24"/>
        <w:szCs w:val="24"/>
      </w:rPr>
      <w:fldChar w:fldCharType="separate"/>
    </w:r>
    <w:r>
      <w:rPr>
        <w:rStyle w:val="20"/>
        <w:rFonts w:ascii="宋体" w:hAnsi="宋体"/>
        <w:sz w:val="24"/>
        <w:szCs w:val="24"/>
      </w:rPr>
      <w:t>37</w:t>
    </w:r>
    <w:r>
      <w:rPr>
        <w:rStyle w:val="20"/>
        <w:rFonts w:ascii="宋体" w:hAnsi="宋体"/>
        <w:sz w:val="24"/>
        <w:szCs w:val="24"/>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16"/>
      <w:lvlText w:val="%1."/>
      <w:lvlJc w:val="left"/>
      <w:pPr>
        <w:tabs>
          <w:tab w:val="left" w:pos="780"/>
        </w:tabs>
        <w:ind w:left="780" w:hanging="360"/>
      </w:pPr>
    </w:lvl>
  </w:abstractNum>
  <w:abstractNum w:abstractNumId="1">
    <w:nsid w:val="10BCA54D"/>
    <w:multiLevelType w:val="singleLevel"/>
    <w:tmpl w:val="10BCA54D"/>
    <w:lvl w:ilvl="0" w:tentative="0">
      <w:start w:val="4"/>
      <w:numFmt w:val="decimal"/>
      <w:suff w:val="nothing"/>
      <w:lvlText w:val="%1、"/>
      <w:lvlJc w:val="left"/>
    </w:lvl>
  </w:abstractNum>
  <w:abstractNum w:abstractNumId="2">
    <w:nsid w:val="6A280582"/>
    <w:multiLevelType w:val="singleLevel"/>
    <w:tmpl w:val="6A280582"/>
    <w:lvl w:ilvl="0" w:tentative="0">
      <w:start w:val="2"/>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docVars>
    <w:docVar w:name="commondata" w:val="eyJoZGlkIjoiN2RlODY0ZTk5ZDJjYTQ4MTZjMjVlOTYzYzRkYTVjMWQifQ=="/>
  </w:docVars>
  <w:rsids>
    <w:rsidRoot w:val="00C457B2"/>
    <w:rsid w:val="00002805"/>
    <w:rsid w:val="00003BF8"/>
    <w:rsid w:val="00004B73"/>
    <w:rsid w:val="00005FEA"/>
    <w:rsid w:val="00012CEB"/>
    <w:rsid w:val="00016803"/>
    <w:rsid w:val="000175CD"/>
    <w:rsid w:val="000219CC"/>
    <w:rsid w:val="00025AEA"/>
    <w:rsid w:val="00025D17"/>
    <w:rsid w:val="0004042A"/>
    <w:rsid w:val="00045BFA"/>
    <w:rsid w:val="00052577"/>
    <w:rsid w:val="00096FA3"/>
    <w:rsid w:val="000B0749"/>
    <w:rsid w:val="000C452A"/>
    <w:rsid w:val="000C7BB7"/>
    <w:rsid w:val="000D232F"/>
    <w:rsid w:val="000E0EC6"/>
    <w:rsid w:val="000E2660"/>
    <w:rsid w:val="000F0F0F"/>
    <w:rsid w:val="00102BD1"/>
    <w:rsid w:val="00103217"/>
    <w:rsid w:val="00110DBB"/>
    <w:rsid w:val="001160A5"/>
    <w:rsid w:val="00121B46"/>
    <w:rsid w:val="00124019"/>
    <w:rsid w:val="001320CF"/>
    <w:rsid w:val="0013270E"/>
    <w:rsid w:val="0013337A"/>
    <w:rsid w:val="001357C0"/>
    <w:rsid w:val="00136772"/>
    <w:rsid w:val="00145DBA"/>
    <w:rsid w:val="0015536F"/>
    <w:rsid w:val="0016186A"/>
    <w:rsid w:val="00170E6A"/>
    <w:rsid w:val="00183FEA"/>
    <w:rsid w:val="00197391"/>
    <w:rsid w:val="001B37BD"/>
    <w:rsid w:val="001C1CC2"/>
    <w:rsid w:val="001D00A6"/>
    <w:rsid w:val="001D180C"/>
    <w:rsid w:val="001D365E"/>
    <w:rsid w:val="001E05F1"/>
    <w:rsid w:val="001E0DE1"/>
    <w:rsid w:val="001E1452"/>
    <w:rsid w:val="001E404F"/>
    <w:rsid w:val="001E4BCE"/>
    <w:rsid w:val="001E67B5"/>
    <w:rsid w:val="001F0BF7"/>
    <w:rsid w:val="001F12F7"/>
    <w:rsid w:val="001F2661"/>
    <w:rsid w:val="001F4167"/>
    <w:rsid w:val="0020704A"/>
    <w:rsid w:val="00207EFE"/>
    <w:rsid w:val="0021031D"/>
    <w:rsid w:val="0022118F"/>
    <w:rsid w:val="0022182C"/>
    <w:rsid w:val="00230471"/>
    <w:rsid w:val="00230585"/>
    <w:rsid w:val="00235A96"/>
    <w:rsid w:val="00242DB1"/>
    <w:rsid w:val="002434C0"/>
    <w:rsid w:val="00246D50"/>
    <w:rsid w:val="002543D3"/>
    <w:rsid w:val="00265A8B"/>
    <w:rsid w:val="00270E94"/>
    <w:rsid w:val="00271C29"/>
    <w:rsid w:val="00272A31"/>
    <w:rsid w:val="00274ADB"/>
    <w:rsid w:val="002837AD"/>
    <w:rsid w:val="002913F7"/>
    <w:rsid w:val="00296601"/>
    <w:rsid w:val="002A4699"/>
    <w:rsid w:val="002A5E3E"/>
    <w:rsid w:val="002B2B6C"/>
    <w:rsid w:val="002B42F7"/>
    <w:rsid w:val="002B4E61"/>
    <w:rsid w:val="002C1E73"/>
    <w:rsid w:val="002C7C7F"/>
    <w:rsid w:val="002D5F97"/>
    <w:rsid w:val="002E063E"/>
    <w:rsid w:val="002E3F54"/>
    <w:rsid w:val="00303328"/>
    <w:rsid w:val="003049DA"/>
    <w:rsid w:val="00304C7A"/>
    <w:rsid w:val="00313A54"/>
    <w:rsid w:val="00321A4A"/>
    <w:rsid w:val="00322244"/>
    <w:rsid w:val="00334539"/>
    <w:rsid w:val="00335365"/>
    <w:rsid w:val="00351972"/>
    <w:rsid w:val="00351E4F"/>
    <w:rsid w:val="00360CF5"/>
    <w:rsid w:val="00364470"/>
    <w:rsid w:val="00381827"/>
    <w:rsid w:val="0039687C"/>
    <w:rsid w:val="003A0082"/>
    <w:rsid w:val="003A1E19"/>
    <w:rsid w:val="003B12A3"/>
    <w:rsid w:val="003B4FFB"/>
    <w:rsid w:val="003C22F5"/>
    <w:rsid w:val="003C5C90"/>
    <w:rsid w:val="003D23F1"/>
    <w:rsid w:val="003D35D7"/>
    <w:rsid w:val="003E13CC"/>
    <w:rsid w:val="003E34D1"/>
    <w:rsid w:val="003F5817"/>
    <w:rsid w:val="003F7D63"/>
    <w:rsid w:val="004055DD"/>
    <w:rsid w:val="00405876"/>
    <w:rsid w:val="004148B8"/>
    <w:rsid w:val="00420F1E"/>
    <w:rsid w:val="00422A3D"/>
    <w:rsid w:val="004320E7"/>
    <w:rsid w:val="004323A1"/>
    <w:rsid w:val="00451CCB"/>
    <w:rsid w:val="00453361"/>
    <w:rsid w:val="00461B99"/>
    <w:rsid w:val="004643C1"/>
    <w:rsid w:val="004706AB"/>
    <w:rsid w:val="00473E2B"/>
    <w:rsid w:val="00474E46"/>
    <w:rsid w:val="00485C47"/>
    <w:rsid w:val="00487FEA"/>
    <w:rsid w:val="00492D8D"/>
    <w:rsid w:val="004B53BE"/>
    <w:rsid w:val="004D66FC"/>
    <w:rsid w:val="004E08D4"/>
    <w:rsid w:val="004F0285"/>
    <w:rsid w:val="004F56F0"/>
    <w:rsid w:val="004F5B83"/>
    <w:rsid w:val="005141AE"/>
    <w:rsid w:val="00516B85"/>
    <w:rsid w:val="00516D22"/>
    <w:rsid w:val="00520F72"/>
    <w:rsid w:val="00523D06"/>
    <w:rsid w:val="00527FB7"/>
    <w:rsid w:val="00551EDC"/>
    <w:rsid w:val="00553821"/>
    <w:rsid w:val="00564DD2"/>
    <w:rsid w:val="00566C26"/>
    <w:rsid w:val="00571360"/>
    <w:rsid w:val="00585485"/>
    <w:rsid w:val="00590E6A"/>
    <w:rsid w:val="005B268D"/>
    <w:rsid w:val="005B6C04"/>
    <w:rsid w:val="005C2F89"/>
    <w:rsid w:val="005C367D"/>
    <w:rsid w:val="005D4CBB"/>
    <w:rsid w:val="005E2988"/>
    <w:rsid w:val="005F3551"/>
    <w:rsid w:val="00611967"/>
    <w:rsid w:val="0061504E"/>
    <w:rsid w:val="00635735"/>
    <w:rsid w:val="00645511"/>
    <w:rsid w:val="00653B7C"/>
    <w:rsid w:val="00654E6D"/>
    <w:rsid w:val="0066396F"/>
    <w:rsid w:val="00675D58"/>
    <w:rsid w:val="0068409B"/>
    <w:rsid w:val="00684918"/>
    <w:rsid w:val="00684C4D"/>
    <w:rsid w:val="006856E0"/>
    <w:rsid w:val="00686513"/>
    <w:rsid w:val="0069606B"/>
    <w:rsid w:val="00696ED1"/>
    <w:rsid w:val="006B77AF"/>
    <w:rsid w:val="006D6C03"/>
    <w:rsid w:val="006E0D46"/>
    <w:rsid w:val="006E1ECC"/>
    <w:rsid w:val="006E4CBF"/>
    <w:rsid w:val="006F136A"/>
    <w:rsid w:val="0072514A"/>
    <w:rsid w:val="00733A58"/>
    <w:rsid w:val="007401BD"/>
    <w:rsid w:val="007409FA"/>
    <w:rsid w:val="00741C0D"/>
    <w:rsid w:val="007443E5"/>
    <w:rsid w:val="00745C04"/>
    <w:rsid w:val="00747300"/>
    <w:rsid w:val="00752506"/>
    <w:rsid w:val="00752584"/>
    <w:rsid w:val="00754B17"/>
    <w:rsid w:val="007607A5"/>
    <w:rsid w:val="00774A88"/>
    <w:rsid w:val="007769A9"/>
    <w:rsid w:val="007907A3"/>
    <w:rsid w:val="00790C20"/>
    <w:rsid w:val="00792178"/>
    <w:rsid w:val="00794B9A"/>
    <w:rsid w:val="007963C5"/>
    <w:rsid w:val="007975F1"/>
    <w:rsid w:val="007A32C8"/>
    <w:rsid w:val="007B58A9"/>
    <w:rsid w:val="007B5A2C"/>
    <w:rsid w:val="007D4EE9"/>
    <w:rsid w:val="007E35B1"/>
    <w:rsid w:val="007E5A4B"/>
    <w:rsid w:val="007E7536"/>
    <w:rsid w:val="00810DE3"/>
    <w:rsid w:val="00813BEC"/>
    <w:rsid w:val="00815F0B"/>
    <w:rsid w:val="00820AFD"/>
    <w:rsid w:val="00826922"/>
    <w:rsid w:val="00827A7D"/>
    <w:rsid w:val="008450A6"/>
    <w:rsid w:val="00861F8D"/>
    <w:rsid w:val="008639DB"/>
    <w:rsid w:val="008642E8"/>
    <w:rsid w:val="0087121A"/>
    <w:rsid w:val="00887E41"/>
    <w:rsid w:val="008A0E58"/>
    <w:rsid w:val="008A1CD0"/>
    <w:rsid w:val="008A3FCE"/>
    <w:rsid w:val="008A4691"/>
    <w:rsid w:val="008B51D7"/>
    <w:rsid w:val="008D03E4"/>
    <w:rsid w:val="008D05A5"/>
    <w:rsid w:val="008D1E2D"/>
    <w:rsid w:val="008D5639"/>
    <w:rsid w:val="008D6072"/>
    <w:rsid w:val="008F4987"/>
    <w:rsid w:val="00900478"/>
    <w:rsid w:val="00905791"/>
    <w:rsid w:val="009106DE"/>
    <w:rsid w:val="00922F90"/>
    <w:rsid w:val="00925581"/>
    <w:rsid w:val="009321C7"/>
    <w:rsid w:val="00936681"/>
    <w:rsid w:val="00940EFE"/>
    <w:rsid w:val="00945482"/>
    <w:rsid w:val="009458F8"/>
    <w:rsid w:val="0095325D"/>
    <w:rsid w:val="00964B34"/>
    <w:rsid w:val="009803AB"/>
    <w:rsid w:val="009830BF"/>
    <w:rsid w:val="00983AD0"/>
    <w:rsid w:val="009862B0"/>
    <w:rsid w:val="009876FC"/>
    <w:rsid w:val="0099347D"/>
    <w:rsid w:val="009954F4"/>
    <w:rsid w:val="009A5E59"/>
    <w:rsid w:val="009B3E54"/>
    <w:rsid w:val="009D51E3"/>
    <w:rsid w:val="009D52BA"/>
    <w:rsid w:val="009D5795"/>
    <w:rsid w:val="009D57AB"/>
    <w:rsid w:val="009E07FE"/>
    <w:rsid w:val="009E0B4C"/>
    <w:rsid w:val="009E2007"/>
    <w:rsid w:val="009F1792"/>
    <w:rsid w:val="009F7BF6"/>
    <w:rsid w:val="00A01198"/>
    <w:rsid w:val="00A03556"/>
    <w:rsid w:val="00A10CA3"/>
    <w:rsid w:val="00A125B1"/>
    <w:rsid w:val="00A1547D"/>
    <w:rsid w:val="00A221B1"/>
    <w:rsid w:val="00A315A8"/>
    <w:rsid w:val="00A33321"/>
    <w:rsid w:val="00A4034B"/>
    <w:rsid w:val="00A52FA9"/>
    <w:rsid w:val="00A67B7A"/>
    <w:rsid w:val="00A941EC"/>
    <w:rsid w:val="00AB0604"/>
    <w:rsid w:val="00AB11AA"/>
    <w:rsid w:val="00AB4524"/>
    <w:rsid w:val="00AC6D18"/>
    <w:rsid w:val="00AD4D0A"/>
    <w:rsid w:val="00AE5765"/>
    <w:rsid w:val="00AE75C4"/>
    <w:rsid w:val="00B0208B"/>
    <w:rsid w:val="00B20742"/>
    <w:rsid w:val="00B318CB"/>
    <w:rsid w:val="00B31B5E"/>
    <w:rsid w:val="00B33068"/>
    <w:rsid w:val="00B3363B"/>
    <w:rsid w:val="00B51313"/>
    <w:rsid w:val="00B51558"/>
    <w:rsid w:val="00B57785"/>
    <w:rsid w:val="00B57DFD"/>
    <w:rsid w:val="00B8210F"/>
    <w:rsid w:val="00B83C4B"/>
    <w:rsid w:val="00B941EB"/>
    <w:rsid w:val="00BA4EE4"/>
    <w:rsid w:val="00BB26CA"/>
    <w:rsid w:val="00BC263D"/>
    <w:rsid w:val="00BC5F37"/>
    <w:rsid w:val="00BD5BD9"/>
    <w:rsid w:val="00BD5C2B"/>
    <w:rsid w:val="00BE6B5B"/>
    <w:rsid w:val="00BF236F"/>
    <w:rsid w:val="00BF2EC2"/>
    <w:rsid w:val="00BF68EA"/>
    <w:rsid w:val="00C01909"/>
    <w:rsid w:val="00C04C2F"/>
    <w:rsid w:val="00C125BC"/>
    <w:rsid w:val="00C201F9"/>
    <w:rsid w:val="00C24509"/>
    <w:rsid w:val="00C3763F"/>
    <w:rsid w:val="00C457B2"/>
    <w:rsid w:val="00C54FA3"/>
    <w:rsid w:val="00C55FCC"/>
    <w:rsid w:val="00C649B1"/>
    <w:rsid w:val="00C832C6"/>
    <w:rsid w:val="00C87039"/>
    <w:rsid w:val="00C9133D"/>
    <w:rsid w:val="00C935BF"/>
    <w:rsid w:val="00C95FA3"/>
    <w:rsid w:val="00C963B1"/>
    <w:rsid w:val="00CA1B49"/>
    <w:rsid w:val="00CB4918"/>
    <w:rsid w:val="00CB4A83"/>
    <w:rsid w:val="00CB68D9"/>
    <w:rsid w:val="00CC7CD0"/>
    <w:rsid w:val="00CD1032"/>
    <w:rsid w:val="00CD3E97"/>
    <w:rsid w:val="00CE0374"/>
    <w:rsid w:val="00CE7480"/>
    <w:rsid w:val="00CF03EA"/>
    <w:rsid w:val="00CF278F"/>
    <w:rsid w:val="00D012C6"/>
    <w:rsid w:val="00D04393"/>
    <w:rsid w:val="00D12E14"/>
    <w:rsid w:val="00D274E5"/>
    <w:rsid w:val="00D30B5B"/>
    <w:rsid w:val="00D31ACF"/>
    <w:rsid w:val="00D353B8"/>
    <w:rsid w:val="00D3597F"/>
    <w:rsid w:val="00D44E0C"/>
    <w:rsid w:val="00D44FE7"/>
    <w:rsid w:val="00D56165"/>
    <w:rsid w:val="00D57F3A"/>
    <w:rsid w:val="00DA018F"/>
    <w:rsid w:val="00DA0E43"/>
    <w:rsid w:val="00DA1802"/>
    <w:rsid w:val="00DA3B5A"/>
    <w:rsid w:val="00DA40FB"/>
    <w:rsid w:val="00DB080A"/>
    <w:rsid w:val="00DB2B69"/>
    <w:rsid w:val="00DB4563"/>
    <w:rsid w:val="00DB7B35"/>
    <w:rsid w:val="00DD0A35"/>
    <w:rsid w:val="00DD44C9"/>
    <w:rsid w:val="00DE271A"/>
    <w:rsid w:val="00DE3610"/>
    <w:rsid w:val="00DE463A"/>
    <w:rsid w:val="00DF62B9"/>
    <w:rsid w:val="00DF7D34"/>
    <w:rsid w:val="00E02BC0"/>
    <w:rsid w:val="00E03A47"/>
    <w:rsid w:val="00E0438F"/>
    <w:rsid w:val="00E10683"/>
    <w:rsid w:val="00E14D3A"/>
    <w:rsid w:val="00E221A7"/>
    <w:rsid w:val="00E2631F"/>
    <w:rsid w:val="00E32263"/>
    <w:rsid w:val="00E415D7"/>
    <w:rsid w:val="00E66812"/>
    <w:rsid w:val="00E71AFD"/>
    <w:rsid w:val="00E945F4"/>
    <w:rsid w:val="00E96B73"/>
    <w:rsid w:val="00EA647A"/>
    <w:rsid w:val="00EA66E4"/>
    <w:rsid w:val="00EB0BEF"/>
    <w:rsid w:val="00EB7078"/>
    <w:rsid w:val="00ED0A9C"/>
    <w:rsid w:val="00ED3407"/>
    <w:rsid w:val="00ED3B6A"/>
    <w:rsid w:val="00EE28F5"/>
    <w:rsid w:val="00EE453A"/>
    <w:rsid w:val="00EE5F9B"/>
    <w:rsid w:val="00EF5664"/>
    <w:rsid w:val="00F01816"/>
    <w:rsid w:val="00F06836"/>
    <w:rsid w:val="00F13332"/>
    <w:rsid w:val="00F145B0"/>
    <w:rsid w:val="00F22920"/>
    <w:rsid w:val="00F43B9D"/>
    <w:rsid w:val="00F5427A"/>
    <w:rsid w:val="00F73F61"/>
    <w:rsid w:val="00F77A93"/>
    <w:rsid w:val="00F84A57"/>
    <w:rsid w:val="00F8624E"/>
    <w:rsid w:val="00F9171B"/>
    <w:rsid w:val="00F9232F"/>
    <w:rsid w:val="00FA10BD"/>
    <w:rsid w:val="00FA535B"/>
    <w:rsid w:val="00FA5789"/>
    <w:rsid w:val="00FB1647"/>
    <w:rsid w:val="00FD78EA"/>
    <w:rsid w:val="00FE1A8E"/>
    <w:rsid w:val="00FE43AA"/>
    <w:rsid w:val="00FF26A4"/>
    <w:rsid w:val="00FF29B8"/>
    <w:rsid w:val="071603BE"/>
    <w:rsid w:val="076247AC"/>
    <w:rsid w:val="08E4634A"/>
    <w:rsid w:val="09FD44E6"/>
    <w:rsid w:val="0BB1145F"/>
    <w:rsid w:val="0E190268"/>
    <w:rsid w:val="0E363A45"/>
    <w:rsid w:val="0F9D0696"/>
    <w:rsid w:val="101755A5"/>
    <w:rsid w:val="163B0B96"/>
    <w:rsid w:val="165B49E1"/>
    <w:rsid w:val="1E723956"/>
    <w:rsid w:val="1F6659B4"/>
    <w:rsid w:val="24FC045F"/>
    <w:rsid w:val="28155F45"/>
    <w:rsid w:val="29196788"/>
    <w:rsid w:val="29E803C3"/>
    <w:rsid w:val="2B7C61BF"/>
    <w:rsid w:val="2BD81DC1"/>
    <w:rsid w:val="2DBF1599"/>
    <w:rsid w:val="2E4B4B86"/>
    <w:rsid w:val="2E9A31D8"/>
    <w:rsid w:val="2F6A7849"/>
    <w:rsid w:val="2FA66557"/>
    <w:rsid w:val="34AB0B8C"/>
    <w:rsid w:val="38ED1059"/>
    <w:rsid w:val="3A7E5484"/>
    <w:rsid w:val="3AA51998"/>
    <w:rsid w:val="3D762284"/>
    <w:rsid w:val="3FBB4D9D"/>
    <w:rsid w:val="408469E4"/>
    <w:rsid w:val="437D79C7"/>
    <w:rsid w:val="46693892"/>
    <w:rsid w:val="494519B3"/>
    <w:rsid w:val="49B123F5"/>
    <w:rsid w:val="4C0813AE"/>
    <w:rsid w:val="4D746736"/>
    <w:rsid w:val="4DB46E57"/>
    <w:rsid w:val="53922A86"/>
    <w:rsid w:val="544D72DC"/>
    <w:rsid w:val="548670BA"/>
    <w:rsid w:val="590A1E4D"/>
    <w:rsid w:val="5ADB6194"/>
    <w:rsid w:val="5AEA0773"/>
    <w:rsid w:val="5BF6326E"/>
    <w:rsid w:val="5FBE7D8F"/>
    <w:rsid w:val="60746A4B"/>
    <w:rsid w:val="61897B09"/>
    <w:rsid w:val="61F71336"/>
    <w:rsid w:val="63D84EDF"/>
    <w:rsid w:val="63DF6AAB"/>
    <w:rsid w:val="648949E7"/>
    <w:rsid w:val="69B94755"/>
    <w:rsid w:val="6A343F70"/>
    <w:rsid w:val="6BC0155D"/>
    <w:rsid w:val="6F187FDD"/>
    <w:rsid w:val="6FE7313B"/>
    <w:rsid w:val="70D72EF1"/>
    <w:rsid w:val="72D33736"/>
    <w:rsid w:val="73413A6E"/>
    <w:rsid w:val="741F00C1"/>
    <w:rsid w:val="7F302CFB"/>
    <w:rsid w:val="7FE530B9"/>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qFormat="1" w:uiPriority="0" w:semiHidden="0" w:name="envelope return"/>
    <w:lsdException w:uiPriority="0" w:name="footnote reference"/>
    <w:lsdException w:uiPriority="0" w:name="annotation reference"/>
    <w:lsdException w:uiPriority="0" w:name="line number"/>
    <w:lsdException w:qFormat="1"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qFormat="1" w:unhideWhenUsed="0" w:uiPriority="99" w:semiHidden="0" w:name="Date"/>
    <w:lsdException w:qFormat="1" w:uiPriority="0" w:semiHidden="0" w:name="Body Text First Indent"/>
    <w:lsdException w:qFormat="1" w:uiPriority="0" w:semiHidden="0" w:name="Body Text First Indent 2"/>
    <w:lsdException w:uiPriority="0" w:name="Note Heading"/>
    <w:lsdException w:qFormat="1" w:uiPriority="0" w:semiHidden="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ocked="1"/>
    <w:lsdException w:qFormat="1" w:unhideWhenUsed="0" w:uiPriority="0" w:semiHidden="0" w:name="Emphasis" w:locked="1"/>
    <w:lsdException w:uiPriority="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99"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locked/>
    <w:uiPriority w:val="9"/>
    <w:pPr>
      <w:keepNext/>
      <w:keepLines/>
      <w:spacing w:before="340" w:after="330" w:line="578" w:lineRule="auto"/>
      <w:outlineLvl w:val="0"/>
    </w:pPr>
    <w:rPr>
      <w:b/>
      <w:bCs/>
      <w:kern w:val="44"/>
      <w:sz w:val="44"/>
      <w:szCs w:val="44"/>
    </w:rPr>
  </w:style>
  <w:style w:type="paragraph" w:styleId="3">
    <w:name w:val="heading 2"/>
    <w:basedOn w:val="1"/>
    <w:next w:val="1"/>
    <w:link w:val="28"/>
    <w:qFormat/>
    <w:uiPriority w:val="9"/>
    <w:pPr>
      <w:keepNext/>
      <w:keepLines/>
      <w:spacing w:before="260" w:after="260" w:line="415" w:lineRule="auto"/>
      <w:outlineLvl w:val="1"/>
    </w:pPr>
    <w:rPr>
      <w:rFonts w:ascii="Arial" w:hAnsi="Arial" w:eastAsia="黑体"/>
      <w:b/>
      <w:bCs/>
      <w:sz w:val="32"/>
      <w:szCs w:val="32"/>
    </w:rPr>
  </w:style>
  <w:style w:type="character" w:default="1" w:styleId="19">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4">
    <w:name w:val="Body Text"/>
    <w:basedOn w:val="1"/>
    <w:next w:val="5"/>
    <w:link w:val="38"/>
    <w:qFormat/>
    <w:uiPriority w:val="0"/>
    <w:pPr>
      <w:widowControl/>
      <w:jc w:val="left"/>
    </w:pPr>
    <w:rPr>
      <w:b/>
      <w:bCs/>
      <w:kern w:val="0"/>
      <w:sz w:val="24"/>
      <w:lang w:eastAsia="en-US"/>
    </w:rPr>
  </w:style>
  <w:style w:type="paragraph" w:styleId="5">
    <w:name w:val="Body Text 2"/>
    <w:basedOn w:val="1"/>
    <w:unhideWhenUsed/>
    <w:qFormat/>
    <w:uiPriority w:val="0"/>
    <w:pPr>
      <w:spacing w:line="384" w:lineRule="auto"/>
    </w:pPr>
    <w:rPr>
      <w:rFonts w:ascii="宋体" w:hAnsi="宋体"/>
      <w:sz w:val="24"/>
    </w:rPr>
  </w:style>
  <w:style w:type="paragraph" w:styleId="6">
    <w:name w:val="Body Text Indent"/>
    <w:basedOn w:val="1"/>
    <w:next w:val="7"/>
    <w:link w:val="37"/>
    <w:qFormat/>
    <w:uiPriority w:val="0"/>
    <w:pPr>
      <w:ind w:left="62" w:leftChars="62"/>
    </w:pPr>
    <w:rPr>
      <w:rFonts w:hint="eastAsia" w:ascii="宋体" w:hAnsi="宋体"/>
      <w:sz w:val="28"/>
    </w:rPr>
  </w:style>
  <w:style w:type="paragraph" w:styleId="7">
    <w:name w:val="envelope return"/>
    <w:basedOn w:val="1"/>
    <w:unhideWhenUsed/>
    <w:qFormat/>
    <w:uiPriority w:val="0"/>
    <w:pPr>
      <w:snapToGrid w:val="0"/>
      <w:spacing w:line="360" w:lineRule="auto"/>
    </w:pPr>
    <w:rPr>
      <w:rFonts w:ascii="Arial" w:hAnsi="Arial" w:cs="Arial"/>
    </w:rPr>
  </w:style>
  <w:style w:type="paragraph" w:styleId="8">
    <w:name w:val="Plain Text"/>
    <w:basedOn w:val="1"/>
    <w:link w:val="32"/>
    <w:qFormat/>
    <w:uiPriority w:val="0"/>
    <w:rPr>
      <w:rFonts w:ascii="宋体"/>
      <w:kern w:val="0"/>
    </w:rPr>
  </w:style>
  <w:style w:type="paragraph" w:styleId="9">
    <w:name w:val="Date"/>
    <w:basedOn w:val="1"/>
    <w:next w:val="1"/>
    <w:link w:val="31"/>
    <w:qFormat/>
    <w:uiPriority w:val="99"/>
    <w:pPr>
      <w:ind w:left="2500" w:leftChars="2500"/>
    </w:pPr>
    <w:rPr>
      <w:rFonts w:ascii="Calibri" w:hAnsi="Calibri" w:cs="Arial"/>
      <w:szCs w:val="22"/>
    </w:rPr>
  </w:style>
  <w:style w:type="paragraph" w:styleId="10">
    <w:name w:val="Balloon Text"/>
    <w:basedOn w:val="1"/>
    <w:link w:val="33"/>
    <w:unhideWhenUsed/>
    <w:qFormat/>
    <w:uiPriority w:val="99"/>
    <w:rPr>
      <w:sz w:val="18"/>
      <w:szCs w:val="18"/>
    </w:rPr>
  </w:style>
  <w:style w:type="paragraph" w:styleId="11">
    <w:name w:val="footer"/>
    <w:basedOn w:val="1"/>
    <w:link w:val="30"/>
    <w:qFormat/>
    <w:uiPriority w:val="99"/>
    <w:pPr>
      <w:tabs>
        <w:tab w:val="center" w:pos="4153"/>
        <w:tab w:val="right" w:pos="8306"/>
      </w:tabs>
      <w:snapToGrid w:val="0"/>
      <w:jc w:val="left"/>
    </w:pPr>
    <w:rPr>
      <w:sz w:val="18"/>
      <w:szCs w:val="18"/>
    </w:rPr>
  </w:style>
  <w:style w:type="paragraph" w:styleId="12">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unhideWhenUsed/>
    <w:qFormat/>
    <w:uiPriority w:val="99"/>
    <w:pPr>
      <w:widowControl/>
      <w:jc w:val="left"/>
    </w:pPr>
    <w:rPr>
      <w:rFonts w:ascii="宋体" w:hAnsi="宋体" w:cs="宋体"/>
      <w:kern w:val="0"/>
      <w:sz w:val="24"/>
    </w:rPr>
  </w:style>
  <w:style w:type="paragraph" w:styleId="14">
    <w:name w:val="Title"/>
    <w:basedOn w:val="1"/>
    <w:next w:val="1"/>
    <w:link w:val="35"/>
    <w:qFormat/>
    <w:locked/>
    <w:uiPriority w:val="0"/>
    <w:pPr>
      <w:adjustRightInd w:val="0"/>
      <w:spacing w:before="240" w:after="60" w:line="312" w:lineRule="atLeast"/>
      <w:jc w:val="center"/>
      <w:textAlignment w:val="baseline"/>
      <w:outlineLvl w:val="0"/>
    </w:pPr>
    <w:rPr>
      <w:rFonts w:ascii="Cambria" w:hAnsi="Cambria"/>
      <w:b/>
      <w:bCs/>
      <w:kern w:val="0"/>
      <w:sz w:val="32"/>
      <w:szCs w:val="32"/>
    </w:rPr>
  </w:style>
  <w:style w:type="paragraph" w:styleId="15">
    <w:name w:val="Body Text First Indent"/>
    <w:basedOn w:val="4"/>
    <w:next w:val="16"/>
    <w:unhideWhenUsed/>
    <w:qFormat/>
    <w:uiPriority w:val="0"/>
    <w:pPr>
      <w:spacing w:line="360" w:lineRule="auto"/>
      <w:ind w:firstLine="420" w:firstLineChars="100"/>
    </w:pPr>
  </w:style>
  <w:style w:type="paragraph" w:styleId="16">
    <w:name w:val="Body Text First Indent 2"/>
    <w:basedOn w:val="6"/>
    <w:next w:val="1"/>
    <w:unhideWhenUsed/>
    <w:qFormat/>
    <w:uiPriority w:val="0"/>
    <w:pPr>
      <w:numPr>
        <w:ilvl w:val="0"/>
        <w:numId w:val="1"/>
      </w:numPr>
      <w:tabs>
        <w:tab w:val="left" w:pos="432"/>
        <w:tab w:val="clear" w:pos="780"/>
      </w:tabs>
      <w:spacing w:line="360" w:lineRule="auto"/>
      <w:ind w:left="420" w:firstLine="210" w:firstLineChars="200"/>
    </w:pPr>
    <w:rPr>
      <w:bCs/>
    </w:rPr>
  </w:style>
  <w:style w:type="table" w:styleId="18">
    <w:name w:val="Table Grid"/>
    <w:basedOn w:val="1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page number"/>
    <w:basedOn w:val="19"/>
    <w:qFormat/>
    <w:uiPriority w:val="99"/>
    <w:rPr>
      <w:rFonts w:cs="Times New Roman"/>
    </w:rPr>
  </w:style>
  <w:style w:type="character" w:styleId="21">
    <w:name w:val="Hyperlink"/>
    <w:qFormat/>
    <w:uiPriority w:val="0"/>
    <w:rPr>
      <w:color w:val="0000FF"/>
      <w:u w:val="single"/>
    </w:rPr>
  </w:style>
  <w:style w:type="paragraph" w:customStyle="1" w:styleId="22">
    <w:name w:val="Char Char Char Char"/>
    <w:basedOn w:val="1"/>
    <w:semiHidden/>
    <w:qFormat/>
    <w:uiPriority w:val="99"/>
    <w:pPr>
      <w:widowControl/>
      <w:spacing w:after="160" w:line="240" w:lineRule="exact"/>
      <w:jc w:val="left"/>
    </w:pPr>
    <w:rPr>
      <w:rFonts w:ascii="Verdana" w:hAnsi="Verdana"/>
      <w:kern w:val="0"/>
      <w:sz w:val="20"/>
      <w:szCs w:val="20"/>
      <w:lang w:eastAsia="en-US"/>
    </w:rPr>
  </w:style>
  <w:style w:type="paragraph" w:customStyle="1" w:styleId="23">
    <w:name w:val="List Paragraph1"/>
    <w:basedOn w:val="1"/>
    <w:qFormat/>
    <w:uiPriority w:val="0"/>
    <w:pPr>
      <w:ind w:firstLine="200" w:firstLineChars="200"/>
    </w:pPr>
    <w:rPr>
      <w:rFonts w:ascii="Calibri" w:hAnsi="Calibri" w:cs="Arial"/>
      <w:szCs w:val="22"/>
    </w:rPr>
  </w:style>
  <w:style w:type="paragraph" w:customStyle="1" w:styleId="24">
    <w:name w:val="列表段落1"/>
    <w:basedOn w:val="1"/>
    <w:qFormat/>
    <w:uiPriority w:val="0"/>
    <w:pPr>
      <w:ind w:firstLine="420" w:firstLineChars="200"/>
    </w:pPr>
  </w:style>
  <w:style w:type="paragraph" w:customStyle="1" w:styleId="25">
    <w:name w:val="列出段落1"/>
    <w:basedOn w:val="1"/>
    <w:qFormat/>
    <w:uiPriority w:val="34"/>
    <w:pPr>
      <w:ind w:firstLine="420" w:firstLineChars="200"/>
    </w:pPr>
  </w:style>
  <w:style w:type="paragraph" w:customStyle="1" w:styleId="26">
    <w:name w:val="_Style 1"/>
    <w:basedOn w:val="1"/>
    <w:unhideWhenUsed/>
    <w:qFormat/>
    <w:uiPriority w:val="34"/>
    <w:pPr>
      <w:ind w:left="952" w:hanging="240"/>
    </w:pPr>
    <w:rPr>
      <w:rFonts w:ascii="宋体" w:hAnsi="宋体" w:cs="宋体"/>
    </w:rPr>
  </w:style>
  <w:style w:type="paragraph" w:customStyle="1" w:styleId="27">
    <w:name w:val="一级目录"/>
    <w:basedOn w:val="1"/>
    <w:qFormat/>
    <w:uiPriority w:val="0"/>
    <w:pPr>
      <w:spacing w:before="156" w:beforeLines="50" w:after="156" w:afterLines="50"/>
    </w:pPr>
    <w:rPr>
      <w:rFonts w:eastAsia="黑体"/>
    </w:rPr>
  </w:style>
  <w:style w:type="character" w:customStyle="1" w:styleId="28">
    <w:name w:val="标题 2 字符"/>
    <w:basedOn w:val="19"/>
    <w:link w:val="3"/>
    <w:qFormat/>
    <w:locked/>
    <w:uiPriority w:val="9"/>
    <w:rPr>
      <w:rFonts w:ascii="Arial" w:hAnsi="Arial" w:eastAsia="黑体" w:cs="Times New Roman"/>
      <w:b/>
      <w:bCs/>
      <w:kern w:val="2"/>
      <w:sz w:val="32"/>
      <w:szCs w:val="32"/>
    </w:rPr>
  </w:style>
  <w:style w:type="character" w:customStyle="1" w:styleId="29">
    <w:name w:val="页眉 字符"/>
    <w:basedOn w:val="19"/>
    <w:link w:val="12"/>
    <w:qFormat/>
    <w:locked/>
    <w:uiPriority w:val="99"/>
    <w:rPr>
      <w:rFonts w:cs="Times New Roman"/>
      <w:kern w:val="2"/>
      <w:sz w:val="18"/>
      <w:szCs w:val="18"/>
    </w:rPr>
  </w:style>
  <w:style w:type="character" w:customStyle="1" w:styleId="30">
    <w:name w:val="页脚 字符"/>
    <w:basedOn w:val="19"/>
    <w:link w:val="11"/>
    <w:qFormat/>
    <w:locked/>
    <w:uiPriority w:val="99"/>
    <w:rPr>
      <w:rFonts w:cs="Times New Roman"/>
      <w:kern w:val="2"/>
      <w:sz w:val="18"/>
      <w:szCs w:val="18"/>
    </w:rPr>
  </w:style>
  <w:style w:type="character" w:customStyle="1" w:styleId="31">
    <w:name w:val="日期 字符"/>
    <w:basedOn w:val="19"/>
    <w:link w:val="9"/>
    <w:qFormat/>
    <w:locked/>
    <w:uiPriority w:val="99"/>
    <w:rPr>
      <w:rFonts w:ascii="Calibri" w:hAnsi="Calibri" w:cs="Arial"/>
      <w:kern w:val="2"/>
      <w:sz w:val="22"/>
      <w:szCs w:val="22"/>
    </w:rPr>
  </w:style>
  <w:style w:type="character" w:customStyle="1" w:styleId="32">
    <w:name w:val="纯文本 字符"/>
    <w:basedOn w:val="19"/>
    <w:link w:val="8"/>
    <w:qFormat/>
    <w:locked/>
    <w:uiPriority w:val="99"/>
    <w:rPr>
      <w:rFonts w:ascii="宋体" w:cs="Times New Roman"/>
      <w:sz w:val="24"/>
      <w:szCs w:val="24"/>
    </w:rPr>
  </w:style>
  <w:style w:type="character" w:customStyle="1" w:styleId="33">
    <w:name w:val="批注框文本 字符"/>
    <w:basedOn w:val="19"/>
    <w:link w:val="10"/>
    <w:semiHidden/>
    <w:qFormat/>
    <w:uiPriority w:val="99"/>
    <w:rPr>
      <w:kern w:val="2"/>
      <w:sz w:val="18"/>
      <w:szCs w:val="18"/>
    </w:rPr>
  </w:style>
  <w:style w:type="character" w:customStyle="1" w:styleId="34">
    <w:name w:val="标题 1 字符"/>
    <w:basedOn w:val="19"/>
    <w:link w:val="2"/>
    <w:qFormat/>
    <w:uiPriority w:val="9"/>
    <w:rPr>
      <w:b/>
      <w:bCs/>
      <w:kern w:val="44"/>
      <w:sz w:val="44"/>
      <w:szCs w:val="44"/>
    </w:rPr>
  </w:style>
  <w:style w:type="character" w:customStyle="1" w:styleId="35">
    <w:name w:val="标题 字符"/>
    <w:basedOn w:val="19"/>
    <w:link w:val="14"/>
    <w:qFormat/>
    <w:uiPriority w:val="0"/>
    <w:rPr>
      <w:rFonts w:ascii="Cambria" w:hAnsi="Cambria"/>
      <w:b/>
      <w:bCs/>
      <w:sz w:val="32"/>
      <w:szCs w:val="32"/>
    </w:rPr>
  </w:style>
  <w:style w:type="character" w:customStyle="1" w:styleId="36">
    <w:name w:val="font01"/>
    <w:qFormat/>
    <w:uiPriority w:val="0"/>
    <w:rPr>
      <w:rFonts w:hint="eastAsia" w:ascii="宋体" w:hAnsi="宋体" w:eastAsia="宋体" w:cs="宋体"/>
      <w:color w:val="000000"/>
      <w:sz w:val="22"/>
      <w:szCs w:val="22"/>
      <w:u w:val="none"/>
    </w:rPr>
  </w:style>
  <w:style w:type="character" w:customStyle="1" w:styleId="37">
    <w:name w:val="正文文本缩进 字符"/>
    <w:basedOn w:val="19"/>
    <w:link w:val="6"/>
    <w:qFormat/>
    <w:uiPriority w:val="0"/>
    <w:rPr>
      <w:rFonts w:ascii="宋体" w:hAnsi="宋体"/>
      <w:kern w:val="2"/>
      <w:sz w:val="28"/>
      <w:szCs w:val="24"/>
    </w:rPr>
  </w:style>
  <w:style w:type="character" w:customStyle="1" w:styleId="38">
    <w:name w:val="正文文本 字符"/>
    <w:basedOn w:val="19"/>
    <w:link w:val="4"/>
    <w:qFormat/>
    <w:uiPriority w:val="0"/>
    <w:rPr>
      <w:b/>
      <w:bCs/>
      <w:sz w:val="24"/>
      <w:szCs w:val="24"/>
      <w:lang w:eastAsia="en-US"/>
    </w:rPr>
  </w:style>
  <w:style w:type="character" w:customStyle="1" w:styleId="39">
    <w:name w:val="未处理的提及1"/>
    <w:basedOn w:val="19"/>
    <w:unhideWhenUsed/>
    <w:qFormat/>
    <w:uiPriority w:val="99"/>
    <w:rPr>
      <w:color w:val="605E5C"/>
      <w:shd w:val="clear" w:color="auto" w:fill="E1DFDD"/>
    </w:rPr>
  </w:style>
  <w:style w:type="paragraph" w:styleId="40">
    <w:name w:val="List Paragraph"/>
    <w:basedOn w:val="1"/>
    <w:qFormat/>
    <w:uiPriority w:val="99"/>
    <w:pPr>
      <w:spacing w:line="300" w:lineRule="auto"/>
      <w:ind w:firstLine="420" w:firstLineChars="200"/>
    </w:pPr>
    <w:rPr>
      <w:rFonts w:ascii="Arial" w:hAnsi="Arial"/>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5695</Words>
  <Characters>5951</Characters>
  <Lines>61</Lines>
  <Paragraphs>17</Paragraphs>
  <TotalTime>8</TotalTime>
  <ScaleCrop>false</ScaleCrop>
  <LinksUpToDate>false</LinksUpToDate>
  <CharactersWithSpaces>5971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2023-07-31T08:13:00Z</dcterms:created>
  <dc:creator>微软用户</dc:creator>
  <cp:lastModifiedBy>季烨霏</cp:lastModifiedBy>
  <cp:lastPrinted>2019-07-25T02:15:00Z</cp:lastPrinted>
  <dcterms:modified xsi:type="dcterms:W3CDTF">2026-08-03T03:12:52Z</dcterms:modified>
  <dc:title>远东复合技术有限公司一台分电机传动框绞机招标技术要求</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B30D2407D52749AA90E06E17A843B924</vt:lpwstr>
  </property>
  <property fmtid="{D5CDD505-2E9C-101B-9397-08002B2CF9AE}" pid="4" name="KSOTemplateDocerSaveRecord">
    <vt:lpwstr>eyJoZGlkIjoiN2RlODY0ZTk5ZDJjYTQ4MTZjMjVlOTYzYzRkYTVjMWQiLCJ1c2VySWQiOiI4MjI4NjQ5MTgifQ==</vt:lpwstr>
  </property>
</Properties>
</file>