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74EE9C">
      <w:pPr>
        <w:spacing w:line="360" w:lineRule="auto"/>
        <w:ind w:firstLine="560"/>
        <w:jc w:val="center"/>
        <w:rPr>
          <w:rFonts w:ascii="宋体" w:hAnsi="宋体"/>
          <w:b/>
          <w:bCs/>
          <w:sz w:val="36"/>
          <w:szCs w:val="36"/>
        </w:rPr>
      </w:pPr>
      <w:r>
        <w:rPr>
          <w:rFonts w:hint="eastAsia" w:ascii="宋体" w:hAnsi="宋体"/>
          <w:b/>
          <w:bCs/>
          <w:sz w:val="36"/>
          <w:szCs w:val="36"/>
        </w:rPr>
        <w:t>远东智慧能源股份有限公司</w:t>
      </w:r>
    </w:p>
    <w:p w14:paraId="5300EEBE">
      <w:pPr>
        <w:spacing w:line="360" w:lineRule="auto"/>
        <w:ind w:firstLine="560"/>
        <w:jc w:val="center"/>
        <w:rPr>
          <w:rFonts w:ascii="宋体" w:hAnsi="宋体"/>
          <w:b/>
          <w:bCs/>
          <w:sz w:val="36"/>
          <w:szCs w:val="36"/>
          <w:u w:val="double"/>
          <w:lang w:val="zh-CN"/>
        </w:rPr>
      </w:pPr>
      <w:r>
        <w:rPr>
          <w:rFonts w:hint="eastAsia" w:ascii="宋体" w:hAnsi="宋体"/>
          <w:b/>
          <w:bCs/>
          <w:sz w:val="36"/>
          <w:szCs w:val="36"/>
        </w:rPr>
        <w:t>旗下子公司—</w:t>
      </w:r>
      <w:r>
        <w:rPr>
          <w:rFonts w:hint="eastAsia" w:ascii="宋体" w:hAnsi="宋体"/>
          <w:b/>
          <w:bCs/>
          <w:sz w:val="36"/>
          <w:szCs w:val="36"/>
          <w:u w:val="double"/>
          <w:lang w:val="zh-CN"/>
        </w:rPr>
        <w:t>远东</w:t>
      </w:r>
      <w:r>
        <w:rPr>
          <w:rFonts w:hint="eastAsia" w:ascii="宋体" w:hAnsi="宋体"/>
          <w:b/>
          <w:bCs/>
          <w:sz w:val="36"/>
          <w:szCs w:val="36"/>
          <w:u w:val="double"/>
        </w:rPr>
        <w:t>海缆</w:t>
      </w:r>
      <w:r>
        <w:rPr>
          <w:rFonts w:hint="eastAsia" w:ascii="宋体" w:hAnsi="宋体"/>
          <w:b/>
          <w:bCs/>
          <w:sz w:val="36"/>
          <w:szCs w:val="36"/>
          <w:u w:val="double"/>
          <w:lang w:val="zh-CN"/>
        </w:rPr>
        <w:t>有限公司</w:t>
      </w:r>
    </w:p>
    <w:p w14:paraId="7B9DE1F7">
      <w:pPr>
        <w:spacing w:line="360" w:lineRule="auto"/>
        <w:ind w:firstLine="560"/>
        <w:jc w:val="center"/>
        <w:rPr>
          <w:rFonts w:ascii="宋体" w:hAnsi="宋体"/>
          <w:b/>
          <w:bCs/>
          <w:sz w:val="36"/>
          <w:szCs w:val="36"/>
          <w:u w:val="single"/>
        </w:rPr>
      </w:pPr>
      <w:r>
        <w:rPr>
          <w:rFonts w:hint="eastAsia" w:ascii="宋体" w:hAnsi="宋体"/>
          <w:b/>
          <w:bCs/>
          <w:sz w:val="36"/>
          <w:szCs w:val="36"/>
          <w:u w:val="single"/>
          <w:lang w:val="en-US" w:eastAsia="zh-CN"/>
        </w:rPr>
        <w:t>立塔储料间</w:t>
      </w:r>
      <w:r>
        <w:rPr>
          <w:rFonts w:hint="eastAsia" w:ascii="宋体" w:hAnsi="宋体"/>
          <w:b/>
          <w:bCs/>
          <w:sz w:val="36"/>
          <w:szCs w:val="36"/>
          <w:u w:val="single"/>
        </w:rPr>
        <w:t>招标书</w:t>
      </w:r>
    </w:p>
    <w:p w14:paraId="5B30D514">
      <w:pPr>
        <w:spacing w:line="600" w:lineRule="exact"/>
        <w:ind w:firstLine="2800" w:firstLineChars="1000"/>
        <w:rPr>
          <w:rFonts w:ascii="宋体" w:hAnsi="宋体"/>
          <w:sz w:val="28"/>
          <w:szCs w:val="28"/>
        </w:rPr>
      </w:pPr>
      <w:r>
        <w:rPr>
          <w:rFonts w:hint="eastAsia" w:ascii="宋体" w:hAnsi="宋体"/>
          <w:sz w:val="28"/>
          <w:szCs w:val="28"/>
        </w:rPr>
        <w:t>招标书编号：</w:t>
      </w:r>
      <w:r>
        <w:rPr>
          <w:rFonts w:ascii="宋体" w:hAnsi="宋体"/>
          <w:sz w:val="28"/>
          <w:szCs w:val="28"/>
        </w:rPr>
        <w:t>202</w:t>
      </w:r>
      <w:r>
        <w:rPr>
          <w:rFonts w:hint="eastAsia" w:ascii="宋体" w:hAnsi="宋体"/>
          <w:sz w:val="28"/>
          <w:szCs w:val="28"/>
          <w:lang w:val="en-US" w:eastAsia="zh-CN"/>
        </w:rPr>
        <w:t>608030</w:t>
      </w:r>
      <w:r>
        <w:rPr>
          <w:rFonts w:hint="eastAsia" w:ascii="宋体" w:hAnsi="宋体"/>
          <w:sz w:val="28"/>
          <w:szCs w:val="28"/>
        </w:rPr>
        <w:t>01</w:t>
      </w:r>
    </w:p>
    <w:p w14:paraId="53715BD7">
      <w:pPr>
        <w:spacing w:line="420" w:lineRule="exact"/>
        <w:rPr>
          <w:rFonts w:ascii="等线" w:hAnsi="等线" w:eastAsia="等线"/>
          <w:b/>
          <w:bCs/>
          <w:color w:val="0070C0"/>
          <w:szCs w:val="21"/>
          <w:lang w:bidi="ar-SA"/>
        </w:rPr>
      </w:pPr>
      <w:r>
        <w:rPr>
          <w:rFonts w:hint="eastAsia" w:ascii="等线" w:hAnsi="等线" w:eastAsia="等线"/>
          <w:b/>
          <w:bCs/>
          <w:color w:val="0070C0"/>
          <w:szCs w:val="21"/>
          <w:lang w:bidi="ar-SA"/>
        </w:rPr>
        <w:t>一、</w:t>
      </w:r>
      <w:bookmarkStart w:id="0" w:name="_Toc35944562"/>
      <w:bookmarkStart w:id="1" w:name="_Toc1132206792"/>
      <w:bookmarkStart w:id="2" w:name="_Toc501735747"/>
      <w:bookmarkStart w:id="3" w:name="_Toc35847745"/>
      <w:bookmarkStart w:id="4" w:name="_Toc35835115"/>
      <w:bookmarkStart w:id="5" w:name="_Toc501735295"/>
      <w:r>
        <w:rPr>
          <w:rFonts w:hint="eastAsia" w:ascii="等线" w:hAnsi="等线" w:eastAsia="等线"/>
          <w:b/>
          <w:bCs/>
          <w:color w:val="0070C0"/>
          <w:szCs w:val="21"/>
          <w:lang w:bidi="ar-SA"/>
        </w:rPr>
        <w:t>工程概况</w:t>
      </w:r>
      <w:bookmarkEnd w:id="0"/>
      <w:bookmarkEnd w:id="1"/>
      <w:bookmarkEnd w:id="2"/>
      <w:bookmarkEnd w:id="3"/>
      <w:bookmarkEnd w:id="4"/>
      <w:bookmarkEnd w:id="5"/>
    </w:p>
    <w:p w14:paraId="5E58781E">
      <w:pPr>
        <w:spacing w:line="420" w:lineRule="exact"/>
        <w:ind w:firstLine="420" w:firstLineChars="0"/>
        <w:jc w:val="left"/>
        <w:rPr>
          <w:rFonts w:hint="eastAsia" w:asciiTheme="minorEastAsia" w:hAnsiTheme="minorEastAsia" w:eastAsiaTheme="minorEastAsia" w:cstheme="minorEastAsia"/>
          <w:szCs w:val="21"/>
          <w:lang w:bidi="ar-SA"/>
        </w:rPr>
      </w:pPr>
      <w:r>
        <w:rPr>
          <w:rFonts w:hint="eastAsia" w:asciiTheme="minorEastAsia" w:hAnsiTheme="minorEastAsia" w:eastAsiaTheme="minorEastAsia" w:cstheme="minorEastAsia"/>
          <w:szCs w:val="21"/>
          <w:lang w:bidi="ar-SA"/>
        </w:rPr>
        <w:t>1.1工程名称：远东海工海缆建设项目</w:t>
      </w:r>
      <w:r>
        <w:rPr>
          <w:rFonts w:hint="eastAsia" w:asciiTheme="minorEastAsia" w:hAnsiTheme="minorEastAsia" w:eastAsiaTheme="minorEastAsia" w:cstheme="minorEastAsia"/>
          <w:szCs w:val="21"/>
          <w:lang w:val="en-US" w:eastAsia="zh-CN" w:bidi="ar-SA"/>
        </w:rPr>
        <w:t>立塔储料间</w:t>
      </w:r>
      <w:r>
        <w:rPr>
          <w:rFonts w:hint="eastAsia" w:asciiTheme="minorEastAsia" w:hAnsiTheme="minorEastAsia" w:eastAsiaTheme="minorEastAsia" w:cstheme="minorEastAsia"/>
          <w:szCs w:val="21"/>
          <w:lang w:bidi="ar-SA"/>
        </w:rPr>
        <w:t>建设工程。</w:t>
      </w:r>
    </w:p>
    <w:p w14:paraId="360E8C81">
      <w:pPr>
        <w:spacing w:line="420" w:lineRule="exact"/>
        <w:ind w:firstLine="420" w:firstLineChars="0"/>
        <w:jc w:val="left"/>
        <w:rPr>
          <w:rFonts w:hint="eastAsia" w:asciiTheme="minorEastAsia" w:hAnsiTheme="minorEastAsia" w:eastAsiaTheme="minorEastAsia" w:cstheme="minorEastAsia"/>
          <w:szCs w:val="21"/>
          <w:lang w:bidi="ar-SA"/>
        </w:rPr>
      </w:pPr>
      <w:r>
        <w:rPr>
          <w:rFonts w:hint="eastAsia" w:asciiTheme="minorEastAsia" w:hAnsiTheme="minorEastAsia" w:eastAsiaTheme="minorEastAsia" w:cstheme="minorEastAsia"/>
          <w:szCs w:val="21"/>
          <w:lang w:bidi="ar-SA"/>
        </w:rPr>
        <w:t>1.2工程规模：</w:t>
      </w:r>
      <w:r>
        <w:rPr>
          <w:rFonts w:hint="eastAsia" w:asciiTheme="minorEastAsia" w:hAnsiTheme="minorEastAsia" w:eastAsiaTheme="minorEastAsia" w:cstheme="minorEastAsia"/>
          <w:szCs w:val="21"/>
          <w:lang w:val="en-US" w:eastAsia="zh-CN" w:bidi="ar-SA"/>
        </w:rPr>
        <w:t>立塔（VCV楼）的12楼、13楼、20楼分别新建恒温恒湿储料间，12楼两处合约109平，</w:t>
      </w:r>
      <w:bookmarkStart w:id="20" w:name="_GoBack"/>
      <w:bookmarkEnd w:id="20"/>
      <w:r>
        <w:rPr>
          <w:rFonts w:hint="eastAsia" w:asciiTheme="minorEastAsia" w:hAnsiTheme="minorEastAsia" w:eastAsiaTheme="minorEastAsia" w:cstheme="minorEastAsia"/>
          <w:szCs w:val="21"/>
          <w:lang w:val="en-US" w:eastAsia="zh-CN" w:bidi="ar-SA"/>
        </w:rPr>
        <w:t>13楼两处合约220平，20楼一处约32平</w:t>
      </w:r>
      <w:r>
        <w:rPr>
          <w:rFonts w:hint="eastAsia" w:asciiTheme="minorEastAsia" w:hAnsiTheme="minorEastAsia" w:eastAsiaTheme="minorEastAsia" w:cstheme="minorEastAsia"/>
          <w:szCs w:val="21"/>
          <w:lang w:bidi="ar-SA"/>
        </w:rPr>
        <w:t>。</w:t>
      </w:r>
    </w:p>
    <w:p w14:paraId="0B04D9A5">
      <w:pPr>
        <w:spacing w:line="420" w:lineRule="exact"/>
        <w:ind w:firstLine="420" w:firstLineChars="0"/>
        <w:jc w:val="left"/>
        <w:rPr>
          <w:rFonts w:hint="default" w:asciiTheme="minorEastAsia" w:hAnsiTheme="minorEastAsia" w:eastAsiaTheme="minorEastAsia" w:cstheme="minorEastAsia"/>
          <w:szCs w:val="21"/>
          <w:lang w:val="en-US" w:eastAsia="zh-CN" w:bidi="ar-SA"/>
        </w:rPr>
      </w:pPr>
      <w:r>
        <w:rPr>
          <w:rFonts w:hint="eastAsia" w:asciiTheme="minorEastAsia" w:hAnsiTheme="minorEastAsia" w:eastAsiaTheme="minorEastAsia" w:cstheme="minorEastAsia"/>
          <w:szCs w:val="21"/>
          <w:lang w:val="en-US" w:eastAsia="zh-CN" w:bidi="ar-SA"/>
        </w:rPr>
        <w:t>注：该20楼实际为现场楼层标志的22楼。</w:t>
      </w:r>
    </w:p>
    <w:p w14:paraId="059F42E4">
      <w:pPr>
        <w:spacing w:line="420" w:lineRule="exact"/>
        <w:ind w:firstLine="420" w:firstLineChars="0"/>
        <w:jc w:val="left"/>
        <w:rPr>
          <w:rFonts w:hint="eastAsia" w:asciiTheme="minorEastAsia" w:hAnsiTheme="minorEastAsia" w:eastAsiaTheme="minorEastAsia" w:cstheme="minorEastAsia"/>
          <w:szCs w:val="21"/>
          <w:lang w:bidi="ar-SA"/>
        </w:rPr>
      </w:pPr>
      <w:r>
        <w:rPr>
          <w:rFonts w:hint="eastAsia" w:asciiTheme="minorEastAsia" w:hAnsiTheme="minorEastAsia" w:eastAsiaTheme="minorEastAsia" w:cstheme="minorEastAsia"/>
          <w:szCs w:val="21"/>
          <w:lang w:bidi="ar-SA"/>
        </w:rPr>
        <w:t>1.3建设地点：远东海工海缆项目位于江苏省南通市如东县洋口港经济开发区临港工业园二期，地块北侧为北横河，东侧为九贯河。</w:t>
      </w:r>
    </w:p>
    <w:p w14:paraId="0C71104D">
      <w:pPr>
        <w:spacing w:line="420" w:lineRule="exact"/>
        <w:ind w:firstLine="420" w:firstLineChars="0"/>
        <w:jc w:val="left"/>
        <w:rPr>
          <w:rFonts w:hint="eastAsia" w:asciiTheme="minorEastAsia" w:hAnsiTheme="minorEastAsia" w:eastAsiaTheme="minorEastAsia" w:cstheme="minorEastAsia"/>
          <w:szCs w:val="21"/>
          <w:lang w:bidi="ar-SA"/>
        </w:rPr>
      </w:pPr>
      <w:r>
        <w:rPr>
          <w:rFonts w:hint="eastAsia" w:asciiTheme="minorEastAsia" w:hAnsiTheme="minorEastAsia" w:eastAsiaTheme="minorEastAsia" w:cstheme="minorEastAsia"/>
          <w:szCs w:val="21"/>
          <w:lang w:bidi="ar-SA"/>
        </w:rPr>
        <w:t>1.4施工现场状况：本项目地块周边市政道路已建设，厂区内道路已建设，临时设施的搭设及布置需遵守发包方的规划，其余情况由投标单位自行踏勘。</w:t>
      </w:r>
    </w:p>
    <w:p w14:paraId="1027F59F">
      <w:pPr>
        <w:spacing w:line="420" w:lineRule="exact"/>
        <w:ind w:firstLine="420" w:firstLineChars="0"/>
        <w:jc w:val="left"/>
        <w:rPr>
          <w:rFonts w:hint="eastAsia" w:asciiTheme="minorEastAsia" w:hAnsiTheme="minorEastAsia" w:eastAsiaTheme="minorEastAsia" w:cstheme="minorEastAsia"/>
          <w:szCs w:val="21"/>
          <w:lang w:bidi="ar-SA"/>
        </w:rPr>
      </w:pPr>
      <w:r>
        <w:rPr>
          <w:rFonts w:hint="eastAsia" w:asciiTheme="minorEastAsia" w:hAnsiTheme="minorEastAsia" w:eastAsiaTheme="minorEastAsia" w:cstheme="minorEastAsia"/>
          <w:szCs w:val="21"/>
          <w:lang w:bidi="ar-SA"/>
        </w:rPr>
        <w:t>1.5质量要求：合同质量目标履约率100%，无任何质量责任事故发生，需一次性竣工验收合格。</w:t>
      </w:r>
    </w:p>
    <w:p w14:paraId="3054A972">
      <w:pPr>
        <w:spacing w:line="420" w:lineRule="exact"/>
        <w:ind w:firstLine="420" w:firstLineChars="0"/>
        <w:jc w:val="left"/>
        <w:rPr>
          <w:rFonts w:hint="eastAsia" w:asciiTheme="minorEastAsia" w:hAnsiTheme="minorEastAsia" w:eastAsiaTheme="minorEastAsia" w:cstheme="minorEastAsia"/>
          <w:szCs w:val="21"/>
          <w:lang w:bidi="ar-SA"/>
        </w:rPr>
      </w:pPr>
      <w:r>
        <w:rPr>
          <w:rFonts w:hint="eastAsia" w:asciiTheme="minorEastAsia" w:hAnsiTheme="minorEastAsia" w:eastAsiaTheme="minorEastAsia" w:cstheme="minorEastAsia"/>
          <w:szCs w:val="21"/>
          <w:lang w:bidi="ar-SA"/>
        </w:rPr>
        <w:t>1.6 安全文明要求：无重大工伤事故；避免轻伤事故的发生；无死亡事故、设备事故、火灾事故。</w:t>
      </w:r>
    </w:p>
    <w:p w14:paraId="0B9C249D">
      <w:pPr>
        <w:spacing w:line="420" w:lineRule="exact"/>
        <w:ind w:firstLine="420" w:firstLineChars="0"/>
        <w:jc w:val="left"/>
        <w:rPr>
          <w:rFonts w:hint="eastAsia" w:asciiTheme="minorEastAsia" w:hAnsiTheme="minorEastAsia" w:eastAsiaTheme="minorEastAsia" w:cstheme="minorEastAsia"/>
          <w:szCs w:val="21"/>
          <w:lang w:bidi="ar-SA"/>
        </w:rPr>
      </w:pPr>
      <w:r>
        <w:rPr>
          <w:rFonts w:hint="eastAsia" w:asciiTheme="minorEastAsia" w:hAnsiTheme="minorEastAsia" w:eastAsiaTheme="minorEastAsia" w:cstheme="minorEastAsia"/>
          <w:szCs w:val="21"/>
          <w:lang w:bidi="ar-SA"/>
        </w:rPr>
        <w:t>1.7中标单位在安全、文明施工、交通、消防等方面需服从甲方、监理的统一管理。</w:t>
      </w:r>
    </w:p>
    <w:p w14:paraId="13A9436D">
      <w:pPr>
        <w:spacing w:line="420" w:lineRule="exact"/>
        <w:ind w:firstLine="472" w:firstLineChars="225"/>
        <w:jc w:val="left"/>
        <w:rPr>
          <w:rFonts w:hint="eastAsia" w:ascii="等线" w:hAnsi="等线" w:eastAsia="等线"/>
          <w:szCs w:val="21"/>
          <w:lang w:bidi="ar-SA"/>
        </w:rPr>
      </w:pPr>
    </w:p>
    <w:p w14:paraId="3123201B">
      <w:pPr>
        <w:numPr>
          <w:numId w:val="0"/>
        </w:numPr>
        <w:spacing w:line="360" w:lineRule="auto"/>
        <w:ind w:leftChars="0"/>
        <w:outlineLvl w:val="2"/>
        <w:rPr>
          <w:rFonts w:ascii="等线" w:hAnsi="等线" w:eastAsia="等线"/>
          <w:b/>
          <w:bCs/>
          <w:color w:val="0070C0"/>
          <w:szCs w:val="21"/>
          <w:lang w:bidi="ar-SA"/>
        </w:rPr>
      </w:pPr>
      <w:r>
        <w:rPr>
          <w:rFonts w:hint="eastAsia" w:ascii="等线" w:hAnsi="等线" w:eastAsia="等线"/>
          <w:b/>
          <w:bCs/>
          <w:color w:val="0070C0"/>
          <w:szCs w:val="21"/>
          <w:lang w:bidi="ar-SA"/>
        </w:rPr>
        <w:t>二、</w:t>
      </w:r>
      <w:bookmarkStart w:id="6" w:name="_Toc35835116"/>
      <w:bookmarkStart w:id="7" w:name="_Toc35944563"/>
      <w:bookmarkStart w:id="8" w:name="_Toc501735296"/>
      <w:bookmarkStart w:id="9" w:name="_Toc1526438708"/>
      <w:bookmarkStart w:id="10" w:name="_Toc501735748"/>
      <w:bookmarkStart w:id="11" w:name="_Toc35847746"/>
      <w:r>
        <w:rPr>
          <w:rFonts w:hint="eastAsia" w:ascii="等线" w:hAnsi="等线" w:eastAsia="等线"/>
          <w:b/>
          <w:bCs/>
          <w:color w:val="0070C0"/>
          <w:szCs w:val="21"/>
          <w:lang w:bidi="ar-SA"/>
        </w:rPr>
        <w:t>招标范围和投标人的资格</w:t>
      </w:r>
      <w:bookmarkEnd w:id="6"/>
      <w:bookmarkEnd w:id="7"/>
      <w:bookmarkEnd w:id="8"/>
      <w:bookmarkEnd w:id="9"/>
      <w:bookmarkEnd w:id="10"/>
      <w:bookmarkEnd w:id="11"/>
    </w:p>
    <w:p w14:paraId="624E136B">
      <w:pPr>
        <w:spacing w:line="420" w:lineRule="exact"/>
        <w:ind w:firstLine="420" w:firstLineChars="0"/>
        <w:jc w:val="left"/>
        <w:rPr>
          <w:rFonts w:hint="eastAsia" w:asciiTheme="minorEastAsia" w:hAnsiTheme="minorEastAsia" w:eastAsiaTheme="minorEastAsia" w:cstheme="minorEastAsia"/>
          <w:szCs w:val="21"/>
          <w:lang w:bidi="ar-SA"/>
        </w:rPr>
      </w:pPr>
      <w:r>
        <w:rPr>
          <w:rFonts w:hint="eastAsia" w:asciiTheme="minorEastAsia" w:hAnsiTheme="minorEastAsia" w:eastAsiaTheme="minorEastAsia" w:cstheme="minorEastAsia"/>
          <w:szCs w:val="21"/>
          <w:lang w:bidi="ar-SA"/>
        </w:rPr>
        <w:t>2.1招标范围：</w:t>
      </w:r>
    </w:p>
    <w:p w14:paraId="6CD1B662">
      <w:pPr>
        <w:spacing w:line="420" w:lineRule="exact"/>
        <w:ind w:firstLine="420" w:firstLineChars="0"/>
        <w:jc w:val="left"/>
        <w:rPr>
          <w:rFonts w:hint="eastAsia" w:asciiTheme="minorEastAsia" w:hAnsiTheme="minorEastAsia" w:eastAsiaTheme="minorEastAsia" w:cstheme="minorEastAsia"/>
          <w:szCs w:val="21"/>
          <w:lang w:bidi="ar-SA"/>
        </w:rPr>
      </w:pPr>
      <w:r>
        <w:rPr>
          <w:rFonts w:hint="eastAsia" w:asciiTheme="minorEastAsia" w:hAnsiTheme="minorEastAsia" w:eastAsiaTheme="minorEastAsia" w:cstheme="minorEastAsia"/>
          <w:szCs w:val="21"/>
          <w:lang w:bidi="ar-SA"/>
        </w:rPr>
        <w:t>1）按设计图纸施工</w:t>
      </w:r>
      <w:r>
        <w:rPr>
          <w:rFonts w:hint="eastAsia" w:asciiTheme="minorEastAsia" w:hAnsiTheme="minorEastAsia" w:eastAsiaTheme="minorEastAsia" w:cstheme="minorEastAsia"/>
          <w:szCs w:val="21"/>
          <w:lang w:val="en-US" w:eastAsia="zh-CN" w:bidi="ar-SA"/>
        </w:rPr>
        <w:t>立塔储料间</w:t>
      </w:r>
      <w:r>
        <w:rPr>
          <w:rFonts w:hint="eastAsia" w:asciiTheme="minorEastAsia" w:hAnsiTheme="minorEastAsia" w:eastAsiaTheme="minorEastAsia" w:cstheme="minorEastAsia"/>
          <w:szCs w:val="21"/>
          <w:lang w:bidi="ar-SA"/>
        </w:rPr>
        <w:t>建设工程；</w:t>
      </w:r>
    </w:p>
    <w:p w14:paraId="48DA438C">
      <w:pPr>
        <w:spacing w:line="420" w:lineRule="exact"/>
        <w:ind w:firstLine="420" w:firstLineChars="0"/>
        <w:jc w:val="left"/>
        <w:rPr>
          <w:rFonts w:hint="eastAsia" w:asciiTheme="minorEastAsia" w:hAnsiTheme="minorEastAsia" w:eastAsiaTheme="minorEastAsia" w:cstheme="minorEastAsia"/>
          <w:szCs w:val="21"/>
          <w:lang w:bidi="ar-SA"/>
        </w:rPr>
      </w:pPr>
      <w:r>
        <w:rPr>
          <w:rFonts w:hint="eastAsia" w:asciiTheme="minorEastAsia" w:hAnsiTheme="minorEastAsia" w:eastAsiaTheme="minorEastAsia" w:cstheme="minorEastAsia"/>
          <w:szCs w:val="21"/>
          <w:lang w:bidi="ar-SA"/>
        </w:rPr>
        <w:t>2）完成结构、建筑、给排水、消防水电、空调系统、吊顶、施工成品保护、装饰、</w:t>
      </w:r>
      <w:r>
        <w:rPr>
          <w:rFonts w:hint="eastAsia" w:asciiTheme="minorEastAsia" w:hAnsiTheme="minorEastAsia" w:eastAsiaTheme="minorEastAsia" w:cstheme="minorEastAsia"/>
          <w:szCs w:val="21"/>
          <w:lang w:val="en-US" w:eastAsia="zh-CN" w:bidi="ar-SA"/>
        </w:rPr>
        <w:t>墙板、吊顶、地面环氧、照明、配电、消防改造、窗帘、空调、除湿机、电移门</w:t>
      </w:r>
      <w:r>
        <w:rPr>
          <w:rFonts w:hint="eastAsia" w:asciiTheme="minorEastAsia" w:hAnsiTheme="minorEastAsia" w:eastAsiaTheme="minorEastAsia" w:cstheme="minorEastAsia"/>
          <w:szCs w:val="21"/>
          <w:lang w:bidi="ar-SA"/>
        </w:rPr>
        <w:t>等的供货、安装及调试；</w:t>
      </w:r>
    </w:p>
    <w:p w14:paraId="00D2B233">
      <w:pPr>
        <w:spacing w:line="420" w:lineRule="exact"/>
        <w:ind w:firstLine="420" w:firstLineChars="0"/>
        <w:jc w:val="left"/>
        <w:rPr>
          <w:rFonts w:hint="eastAsia" w:asciiTheme="minorEastAsia" w:hAnsiTheme="minorEastAsia" w:eastAsiaTheme="minorEastAsia" w:cstheme="minorEastAsia"/>
          <w:szCs w:val="21"/>
          <w:lang w:val="en-US" w:eastAsia="zh-CN" w:bidi="ar-SA"/>
        </w:rPr>
      </w:pPr>
      <w:r>
        <w:rPr>
          <w:rFonts w:hint="eastAsia" w:asciiTheme="minorEastAsia" w:hAnsiTheme="minorEastAsia" w:eastAsiaTheme="minorEastAsia" w:cstheme="minorEastAsia"/>
          <w:szCs w:val="21"/>
          <w:lang w:val="en-US" w:eastAsia="zh-CN" w:bidi="ar-SA"/>
        </w:rPr>
        <w:t>图纸未注明但包含施工的包括：</w:t>
      </w:r>
    </w:p>
    <w:p w14:paraId="7F21D2A2">
      <w:pPr>
        <w:spacing w:line="420" w:lineRule="exact"/>
        <w:ind w:firstLine="420" w:firstLineChars="0"/>
        <w:jc w:val="left"/>
        <w:rPr>
          <w:rFonts w:hint="eastAsia" w:asciiTheme="minorEastAsia" w:hAnsiTheme="minorEastAsia" w:eastAsiaTheme="minorEastAsia" w:cstheme="minorEastAsia"/>
          <w:szCs w:val="21"/>
          <w:lang w:val="en-US" w:eastAsia="zh-CN" w:bidi="ar-SA"/>
        </w:rPr>
      </w:pPr>
      <w:r>
        <w:rPr>
          <w:rFonts w:hint="eastAsia" w:asciiTheme="minorEastAsia" w:hAnsiTheme="minorEastAsia" w:eastAsiaTheme="minorEastAsia" w:cstheme="minorEastAsia"/>
          <w:szCs w:val="21"/>
          <w:lang w:val="en-US" w:eastAsia="zh-CN" w:bidi="ar-SA"/>
        </w:rPr>
        <w:t>储料间内的外窗需采购安装窗帘和轨道，双层窗帘，一层隔热，一层薄纱；</w:t>
      </w:r>
    </w:p>
    <w:p w14:paraId="58C638A4">
      <w:pPr>
        <w:spacing w:line="420" w:lineRule="exact"/>
        <w:ind w:firstLine="420" w:firstLineChars="0"/>
        <w:jc w:val="left"/>
        <w:rPr>
          <w:rFonts w:hint="eastAsia" w:asciiTheme="minorEastAsia" w:hAnsiTheme="minorEastAsia" w:eastAsiaTheme="minorEastAsia" w:cstheme="minorEastAsia"/>
          <w:szCs w:val="21"/>
          <w:lang w:val="en-US" w:eastAsia="zh-CN" w:bidi="ar-SA"/>
        </w:rPr>
      </w:pPr>
      <w:r>
        <w:rPr>
          <w:rFonts w:hint="eastAsia" w:asciiTheme="minorEastAsia" w:hAnsiTheme="minorEastAsia" w:eastAsiaTheme="minorEastAsia" w:cstheme="minorEastAsia"/>
          <w:szCs w:val="21"/>
          <w:lang w:val="en-US" w:eastAsia="zh-CN" w:bidi="ar-SA"/>
        </w:rPr>
        <w:t>空调外机所在的三个楼层、三层和四层，合5处楼层，每层需施工对应的一处电动排风阀及配电，由窗扇位置改装；</w:t>
      </w:r>
    </w:p>
    <w:p w14:paraId="112C065C">
      <w:pPr>
        <w:spacing w:line="420" w:lineRule="exact"/>
        <w:ind w:firstLine="420" w:firstLineChars="0"/>
        <w:jc w:val="left"/>
        <w:rPr>
          <w:rFonts w:hint="eastAsia" w:asciiTheme="minorEastAsia" w:hAnsiTheme="minorEastAsia" w:eastAsiaTheme="minorEastAsia" w:cstheme="minorEastAsia"/>
          <w:szCs w:val="21"/>
          <w:lang w:val="en-US" w:eastAsia="zh-CN" w:bidi="ar-SA"/>
        </w:rPr>
      </w:pPr>
      <w:r>
        <w:rPr>
          <w:rFonts w:hint="eastAsia" w:asciiTheme="minorEastAsia" w:hAnsiTheme="minorEastAsia" w:eastAsiaTheme="minorEastAsia" w:cstheme="minorEastAsia"/>
          <w:szCs w:val="21"/>
          <w:lang w:val="en-US" w:eastAsia="zh-CN" w:bidi="ar-SA"/>
        </w:rPr>
        <w:t>储料间墙顶龙骨由中标单位自主深化和施工。</w:t>
      </w:r>
    </w:p>
    <w:p w14:paraId="70EA2836">
      <w:pPr>
        <w:spacing w:line="420" w:lineRule="exact"/>
        <w:ind w:firstLine="420" w:firstLineChars="0"/>
        <w:jc w:val="left"/>
        <w:rPr>
          <w:rFonts w:hint="eastAsia" w:asciiTheme="minorEastAsia" w:hAnsiTheme="minorEastAsia" w:eastAsiaTheme="minorEastAsia" w:cstheme="minorEastAsia"/>
          <w:szCs w:val="21"/>
          <w:lang w:bidi="ar-SA"/>
        </w:rPr>
      </w:pPr>
      <w:r>
        <w:rPr>
          <w:rFonts w:hint="eastAsia" w:asciiTheme="minorEastAsia" w:hAnsiTheme="minorEastAsia" w:eastAsiaTheme="minorEastAsia" w:cstheme="minorEastAsia"/>
          <w:szCs w:val="21"/>
          <w:lang w:bidi="ar-SA"/>
        </w:rPr>
        <w:t>2.2投标人的资格：</w:t>
      </w:r>
    </w:p>
    <w:p w14:paraId="7ABC20F3">
      <w:pPr>
        <w:spacing w:line="420" w:lineRule="exact"/>
        <w:ind w:firstLine="420" w:firstLineChars="0"/>
        <w:jc w:val="left"/>
        <w:rPr>
          <w:rFonts w:hint="eastAsia" w:asciiTheme="minorEastAsia" w:hAnsiTheme="minorEastAsia" w:eastAsiaTheme="minorEastAsia" w:cstheme="minorEastAsia"/>
          <w:szCs w:val="21"/>
          <w:lang w:bidi="ar-SA"/>
        </w:rPr>
      </w:pPr>
      <w:r>
        <w:rPr>
          <w:rFonts w:hint="eastAsia" w:asciiTheme="minorEastAsia" w:hAnsiTheme="minorEastAsia" w:eastAsiaTheme="minorEastAsia" w:cstheme="minorEastAsia"/>
          <w:szCs w:val="21"/>
          <w:lang w:bidi="ar-SA"/>
        </w:rPr>
        <w:t>A投标人必须是能独立承担民事责任并具有招标项目经营资格的法人或其他组织；投标单位需具备机电安装三级及以上资质，需提供相应合同证明文件。</w:t>
      </w:r>
    </w:p>
    <w:p w14:paraId="27B0730B">
      <w:pPr>
        <w:spacing w:line="420" w:lineRule="exact"/>
        <w:ind w:firstLine="420" w:firstLineChars="0"/>
        <w:jc w:val="left"/>
        <w:rPr>
          <w:rFonts w:hint="eastAsia" w:asciiTheme="minorEastAsia" w:hAnsiTheme="minorEastAsia" w:eastAsiaTheme="minorEastAsia" w:cstheme="minorEastAsia"/>
          <w:szCs w:val="21"/>
          <w:lang w:bidi="ar-SA"/>
        </w:rPr>
      </w:pPr>
      <w:r>
        <w:rPr>
          <w:rFonts w:hint="eastAsia" w:asciiTheme="minorEastAsia" w:hAnsiTheme="minorEastAsia" w:eastAsiaTheme="minorEastAsia" w:cstheme="minorEastAsia"/>
          <w:szCs w:val="21"/>
          <w:lang w:bidi="ar-SA"/>
        </w:rPr>
        <w:t>B单位负责人为同一人或者存在控股、管理关系的不同单位，不得参加同一招标项目的投标,否则同时取消投标资格；</w:t>
      </w:r>
    </w:p>
    <w:p w14:paraId="7B594082">
      <w:pPr>
        <w:spacing w:line="420" w:lineRule="exact"/>
        <w:ind w:firstLine="420" w:firstLineChars="0"/>
        <w:jc w:val="left"/>
        <w:rPr>
          <w:rFonts w:hint="eastAsia" w:asciiTheme="minorEastAsia" w:hAnsiTheme="minorEastAsia" w:eastAsiaTheme="minorEastAsia" w:cstheme="minorEastAsia"/>
          <w:szCs w:val="21"/>
          <w:lang w:bidi="ar-SA"/>
        </w:rPr>
      </w:pPr>
      <w:r>
        <w:rPr>
          <w:rFonts w:hint="eastAsia" w:asciiTheme="minorEastAsia" w:hAnsiTheme="minorEastAsia" w:eastAsiaTheme="minorEastAsia" w:cstheme="minorEastAsia"/>
          <w:szCs w:val="21"/>
          <w:lang w:bidi="ar-SA"/>
        </w:rPr>
        <w:t>C本次招标文件均属机密，不得公开，如外泄造成的一切经济责任、法律责任由行为人负责。</w:t>
      </w:r>
    </w:p>
    <w:p w14:paraId="0625D4ED">
      <w:pPr>
        <w:numPr>
          <w:numId w:val="0"/>
        </w:numPr>
        <w:spacing w:line="360" w:lineRule="auto"/>
        <w:ind w:leftChars="0"/>
        <w:outlineLvl w:val="2"/>
        <w:rPr>
          <w:rFonts w:hint="eastAsia" w:ascii="宋体" w:hAnsi="宋体"/>
          <w:b/>
          <w:sz w:val="24"/>
        </w:rPr>
      </w:pPr>
      <w:bookmarkStart w:id="12" w:name="_Toc1158868859"/>
      <w:r>
        <w:rPr>
          <w:rFonts w:hint="eastAsia" w:ascii="等线" w:hAnsi="等线" w:eastAsia="等线"/>
          <w:b/>
          <w:bCs/>
          <w:color w:val="0070C0"/>
          <w:szCs w:val="21"/>
          <w:lang w:val="en-US" w:eastAsia="zh-CN" w:bidi="ar-SA"/>
        </w:rPr>
        <w:t>三、</w:t>
      </w:r>
      <w:r>
        <w:rPr>
          <w:rFonts w:hint="eastAsia" w:ascii="等线" w:hAnsi="等线" w:eastAsia="等线"/>
          <w:b/>
          <w:bCs/>
          <w:color w:val="0070C0"/>
          <w:szCs w:val="21"/>
          <w:lang w:bidi="ar-SA"/>
        </w:rPr>
        <w:t>工期要求</w:t>
      </w:r>
      <w:bookmarkEnd w:id="12"/>
    </w:p>
    <w:p w14:paraId="4D025448">
      <w:pPr>
        <w:spacing w:line="420" w:lineRule="exact"/>
        <w:ind w:firstLine="420" w:firstLineChars="0"/>
        <w:jc w:val="left"/>
        <w:rPr>
          <w:rFonts w:hint="eastAsia" w:asciiTheme="minorEastAsia" w:hAnsiTheme="minorEastAsia" w:eastAsiaTheme="minorEastAsia" w:cstheme="minorEastAsia"/>
          <w:szCs w:val="21"/>
          <w:lang w:val="en-US" w:eastAsia="zh-CN" w:bidi="ar-SA"/>
        </w:rPr>
      </w:pPr>
      <w:r>
        <w:rPr>
          <w:rFonts w:hint="eastAsia" w:asciiTheme="minorEastAsia" w:hAnsiTheme="minorEastAsia" w:eastAsiaTheme="minorEastAsia" w:cstheme="minorEastAsia"/>
          <w:szCs w:val="21"/>
          <w:lang w:val="en-US" w:eastAsia="zh-CN" w:bidi="ar-SA"/>
        </w:rPr>
        <w:t>实际开工日期以招标人书面通知为准，</w:t>
      </w:r>
      <w:r>
        <w:rPr>
          <w:rFonts w:hint="eastAsia" w:asciiTheme="minorEastAsia" w:hAnsiTheme="minorEastAsia" w:eastAsiaTheme="minorEastAsia" w:cstheme="minorEastAsia"/>
          <w:szCs w:val="21"/>
          <w:highlight w:val="yellow"/>
          <w:lang w:val="en-US" w:eastAsia="zh-CN" w:bidi="ar-SA"/>
        </w:rPr>
        <w:t>工期30天</w:t>
      </w:r>
      <w:r>
        <w:rPr>
          <w:rFonts w:hint="eastAsia" w:asciiTheme="minorEastAsia" w:hAnsiTheme="minorEastAsia" w:eastAsiaTheme="minorEastAsia" w:cstheme="minorEastAsia"/>
          <w:szCs w:val="21"/>
          <w:lang w:val="en-US" w:eastAsia="zh-CN" w:bidi="ar-SA"/>
        </w:rPr>
        <w:t>本工程质保期五年。</w:t>
      </w:r>
    </w:p>
    <w:p w14:paraId="2B4B8891">
      <w:pPr>
        <w:spacing w:line="420" w:lineRule="exact"/>
        <w:ind w:firstLine="420" w:firstLineChars="0"/>
        <w:jc w:val="left"/>
        <w:rPr>
          <w:rFonts w:hint="eastAsia" w:ascii="宋体" w:hAnsi="宋体"/>
          <w:sz w:val="24"/>
        </w:rPr>
      </w:pPr>
      <w:r>
        <w:rPr>
          <w:rFonts w:hint="eastAsia" w:asciiTheme="minorEastAsia" w:hAnsiTheme="minorEastAsia" w:eastAsiaTheme="minorEastAsia" w:cstheme="minorEastAsia"/>
          <w:szCs w:val="21"/>
          <w:lang w:val="en-US" w:eastAsia="zh-CN" w:bidi="ar-SA"/>
        </w:rPr>
        <w:t>注：上述的进度节点为关门时间，中标单位可依照自身实际情况，提前安排进场，流水施工作业，以上工期不考虑任何不利因素造成的影响。以上关门时间节点每延期一天处罚5000元，最高处罚金额不超过合同总价的20%。各投标单位在投标技术文件中须依上述节点要求，排出详细明确的施工整体计划表，各节点工期与总工期延误处罚措施按以上要求严格执行。</w:t>
      </w:r>
    </w:p>
    <w:p w14:paraId="609088B1">
      <w:pPr>
        <w:numPr>
          <w:numId w:val="0"/>
        </w:numPr>
        <w:spacing w:line="360" w:lineRule="auto"/>
        <w:ind w:leftChars="0"/>
        <w:outlineLvl w:val="2"/>
        <w:rPr>
          <w:rFonts w:hint="eastAsia" w:ascii="宋体" w:hAnsi="宋体"/>
          <w:b/>
          <w:sz w:val="24"/>
        </w:rPr>
      </w:pPr>
      <w:bookmarkStart w:id="13" w:name="_Toc1148239639"/>
      <w:r>
        <w:rPr>
          <w:rFonts w:hint="eastAsia" w:ascii="等线" w:hAnsi="等线" w:eastAsia="等线"/>
          <w:b/>
          <w:bCs/>
          <w:color w:val="0070C0"/>
          <w:szCs w:val="21"/>
          <w:lang w:val="en-US" w:eastAsia="zh-CN" w:bidi="ar-SA"/>
        </w:rPr>
        <w:t>四、</w:t>
      </w:r>
      <w:r>
        <w:rPr>
          <w:rFonts w:hint="eastAsia" w:ascii="等线" w:hAnsi="等线" w:eastAsia="等线"/>
          <w:b/>
          <w:bCs/>
          <w:color w:val="0070C0"/>
          <w:szCs w:val="21"/>
          <w:lang w:bidi="ar-SA"/>
        </w:rPr>
        <w:t>主要材料及设备品牌表</w:t>
      </w:r>
      <w:bookmarkEnd w:id="13"/>
    </w:p>
    <w:p w14:paraId="02B03CBB">
      <w:pPr>
        <w:spacing w:line="360" w:lineRule="auto"/>
        <w:ind w:firstLine="480" w:firstLineChars="200"/>
        <w:rPr>
          <w:rFonts w:hint="eastAsia" w:ascii="宋体" w:hAnsi="宋体" w:cs="宋体"/>
          <w:color w:val="000000"/>
          <w:kern w:val="0"/>
          <w:sz w:val="24"/>
          <w:highlight w:val="yellow"/>
          <w:lang w:bidi="ar"/>
        </w:rPr>
      </w:pPr>
      <w:r>
        <w:rPr>
          <w:rFonts w:hint="eastAsia" w:ascii="宋体" w:hAnsi="宋体"/>
          <w:sz w:val="24"/>
        </w:rPr>
        <w:t>4.</w:t>
      </w:r>
      <w:r>
        <w:rPr>
          <w:rFonts w:hint="eastAsia" w:ascii="宋体" w:hAnsi="宋体" w:cs="宋体"/>
          <w:color w:val="000000"/>
          <w:kern w:val="0"/>
          <w:sz w:val="24"/>
          <w:lang w:bidi="ar"/>
        </w:rPr>
        <w:t>1主要材料及设备品牌表详见下表：</w:t>
      </w:r>
    </w:p>
    <w:tbl>
      <w:tblPr>
        <w:tblStyle w:val="1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6"/>
        <w:gridCol w:w="3193"/>
        <w:gridCol w:w="4379"/>
        <w:gridCol w:w="1797"/>
      </w:tblGrid>
      <w:tr w14:paraId="2338E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E6E6E6"/>
            <w:vAlign w:val="center"/>
          </w:tcPr>
          <w:p w14:paraId="2348C7C9">
            <w:pPr>
              <w:jc w:val="center"/>
              <w:rPr>
                <w:rFonts w:hint="eastAsia" w:ascii="宋体" w:hAnsi="宋体"/>
                <w:szCs w:val="21"/>
              </w:rPr>
            </w:pPr>
            <w:r>
              <w:rPr>
                <w:rFonts w:hint="eastAsia" w:ascii="宋体" w:hAnsi="宋体" w:cs="宋体"/>
                <w:szCs w:val="21"/>
                <w:lang w:bidi="ar"/>
              </w:rPr>
              <w:t>序号</w:t>
            </w:r>
          </w:p>
        </w:tc>
        <w:tc>
          <w:tcPr>
            <w:tcW w:w="1583" w:type="pct"/>
            <w:tcBorders>
              <w:top w:val="single" w:color="auto" w:sz="4" w:space="0"/>
              <w:left w:val="single" w:color="auto" w:sz="4" w:space="0"/>
              <w:bottom w:val="single" w:color="auto" w:sz="4" w:space="0"/>
              <w:right w:val="single" w:color="auto" w:sz="4" w:space="0"/>
            </w:tcBorders>
            <w:shd w:val="clear" w:color="auto" w:fill="E6E6E6"/>
            <w:vAlign w:val="center"/>
          </w:tcPr>
          <w:p w14:paraId="25032109">
            <w:pPr>
              <w:jc w:val="center"/>
              <w:rPr>
                <w:rFonts w:hint="eastAsia" w:ascii="宋体" w:hAnsi="宋体"/>
                <w:szCs w:val="21"/>
              </w:rPr>
            </w:pPr>
            <w:r>
              <w:rPr>
                <w:rFonts w:hint="eastAsia" w:ascii="宋体" w:hAnsi="宋体" w:cs="宋体"/>
                <w:szCs w:val="21"/>
                <w:lang w:bidi="ar"/>
              </w:rPr>
              <w:t>材料名称</w:t>
            </w:r>
          </w:p>
        </w:tc>
        <w:tc>
          <w:tcPr>
            <w:tcW w:w="2171" w:type="pct"/>
            <w:tcBorders>
              <w:top w:val="single" w:color="auto" w:sz="4" w:space="0"/>
              <w:left w:val="single" w:color="auto" w:sz="4" w:space="0"/>
              <w:bottom w:val="single" w:color="auto" w:sz="4" w:space="0"/>
              <w:right w:val="single" w:color="auto" w:sz="4" w:space="0"/>
            </w:tcBorders>
            <w:shd w:val="clear" w:color="auto" w:fill="E6E6E6"/>
            <w:vAlign w:val="center"/>
          </w:tcPr>
          <w:p w14:paraId="6742FDD5">
            <w:pPr>
              <w:jc w:val="center"/>
              <w:rPr>
                <w:rFonts w:hint="eastAsia" w:ascii="宋体" w:hAnsi="宋体"/>
                <w:szCs w:val="21"/>
              </w:rPr>
            </w:pPr>
            <w:r>
              <w:rPr>
                <w:rFonts w:hint="eastAsia" w:ascii="宋体" w:hAnsi="宋体" w:cs="宋体"/>
                <w:szCs w:val="21"/>
                <w:lang w:bidi="ar"/>
              </w:rPr>
              <w:t>要求品牌</w:t>
            </w:r>
          </w:p>
        </w:tc>
        <w:tc>
          <w:tcPr>
            <w:tcW w:w="891" w:type="pct"/>
            <w:tcBorders>
              <w:top w:val="single" w:color="auto" w:sz="4" w:space="0"/>
              <w:left w:val="single" w:color="auto" w:sz="4" w:space="0"/>
              <w:bottom w:val="single" w:color="auto" w:sz="4" w:space="0"/>
              <w:right w:val="single" w:color="auto" w:sz="4" w:space="0"/>
            </w:tcBorders>
            <w:shd w:val="clear" w:color="auto" w:fill="E6E6E6"/>
            <w:vAlign w:val="center"/>
          </w:tcPr>
          <w:p w14:paraId="449E5C98">
            <w:pPr>
              <w:jc w:val="center"/>
              <w:rPr>
                <w:rFonts w:hint="eastAsia" w:ascii="宋体" w:hAnsi="宋体"/>
                <w:szCs w:val="21"/>
              </w:rPr>
            </w:pPr>
            <w:r>
              <w:rPr>
                <w:rFonts w:hint="eastAsia" w:ascii="宋体" w:hAnsi="宋体" w:cs="宋体"/>
                <w:szCs w:val="21"/>
                <w:lang w:bidi="ar"/>
              </w:rPr>
              <w:t>备注</w:t>
            </w:r>
          </w:p>
        </w:tc>
      </w:tr>
      <w:tr w14:paraId="792E5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4D6BF273">
            <w:pPr>
              <w:jc w:val="center"/>
              <w:rPr>
                <w:rFonts w:hint="eastAsia" w:ascii="宋体" w:hAnsi="宋体"/>
                <w:szCs w:val="21"/>
                <w:highlight w:val="none"/>
              </w:rPr>
            </w:pPr>
            <w:r>
              <w:rPr>
                <w:rFonts w:hint="eastAsia" w:ascii="宋体" w:hAnsi="宋体" w:cs="宋体"/>
                <w:szCs w:val="21"/>
                <w:highlight w:val="none"/>
                <w:lang w:bidi="ar"/>
              </w:rPr>
              <w:t>一</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0456B263">
            <w:pPr>
              <w:jc w:val="center"/>
              <w:rPr>
                <w:rFonts w:hint="eastAsia" w:ascii="宋体" w:hAnsi="宋体"/>
                <w:b/>
                <w:szCs w:val="21"/>
                <w:highlight w:val="none"/>
              </w:rPr>
            </w:pPr>
            <w:r>
              <w:rPr>
                <w:rFonts w:hint="eastAsia" w:ascii="宋体" w:hAnsi="宋体" w:cs="宋体"/>
                <w:b/>
                <w:szCs w:val="21"/>
                <w:highlight w:val="none"/>
                <w:lang w:bidi="ar"/>
              </w:rPr>
              <w:t>建筑及净化工程</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3E49F937">
            <w:pPr>
              <w:jc w:val="center"/>
              <w:rPr>
                <w:rFonts w:hint="eastAsia" w:ascii="宋体" w:hAnsi="宋体"/>
                <w:szCs w:val="21"/>
                <w:highlight w:val="none"/>
              </w:rPr>
            </w:pP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7D3CF85A">
            <w:pPr>
              <w:jc w:val="center"/>
              <w:rPr>
                <w:rFonts w:hint="eastAsia" w:ascii="宋体" w:hAnsi="宋体"/>
                <w:szCs w:val="21"/>
                <w:highlight w:val="yellow"/>
              </w:rPr>
            </w:pPr>
          </w:p>
        </w:tc>
      </w:tr>
      <w:tr w14:paraId="53C59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3CBFB6E7">
            <w:pPr>
              <w:jc w:val="center"/>
              <w:rPr>
                <w:rFonts w:hint="eastAsia" w:ascii="宋体" w:hAnsi="宋体"/>
                <w:szCs w:val="21"/>
                <w:highlight w:val="none"/>
              </w:rPr>
            </w:pPr>
            <w:r>
              <w:rPr>
                <w:rFonts w:hint="eastAsia" w:ascii="宋体" w:hAnsi="宋体" w:cs="宋体"/>
                <w:szCs w:val="21"/>
                <w:highlight w:val="none"/>
                <w:lang w:bidi="ar"/>
              </w:rPr>
              <w:t>1</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23CF474B">
            <w:pPr>
              <w:ind w:firstLine="480"/>
              <w:jc w:val="center"/>
              <w:rPr>
                <w:rFonts w:hint="eastAsia" w:ascii="宋体" w:hAnsi="宋体"/>
                <w:szCs w:val="21"/>
                <w:highlight w:val="none"/>
              </w:rPr>
            </w:pPr>
            <w:r>
              <w:rPr>
                <w:rFonts w:hint="eastAsia" w:ascii="宋体" w:hAnsi="宋体" w:cs="宋体"/>
                <w:szCs w:val="21"/>
                <w:highlight w:val="none"/>
                <w:lang w:bidi="ar"/>
              </w:rPr>
              <w:t>环氧地面</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7660F9FE">
            <w:pPr>
              <w:ind w:firstLine="480"/>
              <w:jc w:val="center"/>
              <w:rPr>
                <w:rFonts w:hint="eastAsia" w:ascii="宋体" w:hAnsi="宋体"/>
                <w:szCs w:val="21"/>
                <w:highlight w:val="none"/>
              </w:rPr>
            </w:pPr>
            <w:r>
              <w:rPr>
                <w:rFonts w:hint="eastAsia" w:ascii="宋体" w:hAnsi="宋体" w:cs="宋体"/>
                <w:szCs w:val="21"/>
                <w:highlight w:val="none"/>
                <w:lang w:bidi="ar"/>
              </w:rPr>
              <w:t>巴斯夫、嘉宝莉、西卡</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466C52A9">
            <w:pPr>
              <w:jc w:val="center"/>
              <w:rPr>
                <w:rFonts w:hint="eastAsia" w:ascii="宋体" w:hAnsi="宋体"/>
                <w:szCs w:val="21"/>
                <w:highlight w:val="yellow"/>
              </w:rPr>
            </w:pPr>
          </w:p>
        </w:tc>
      </w:tr>
      <w:tr w14:paraId="23AA9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56C5B4E9">
            <w:pPr>
              <w:jc w:val="center"/>
              <w:rPr>
                <w:rFonts w:hint="eastAsia" w:ascii="宋体" w:hAnsi="宋体"/>
                <w:szCs w:val="21"/>
                <w:highlight w:val="none"/>
              </w:rPr>
            </w:pPr>
            <w:r>
              <w:rPr>
                <w:rFonts w:hint="eastAsia" w:ascii="宋体" w:hAnsi="宋体" w:cs="宋体"/>
                <w:szCs w:val="21"/>
                <w:highlight w:val="none"/>
                <w:lang w:bidi="ar"/>
              </w:rPr>
              <w:t>2</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1B1479AB">
            <w:pPr>
              <w:ind w:firstLine="480"/>
              <w:jc w:val="center"/>
              <w:rPr>
                <w:rFonts w:hint="eastAsia" w:ascii="宋体" w:hAnsi="宋体"/>
                <w:szCs w:val="21"/>
                <w:highlight w:val="none"/>
              </w:rPr>
            </w:pPr>
            <w:r>
              <w:rPr>
                <w:rFonts w:hint="eastAsia" w:ascii="宋体" w:hAnsi="宋体" w:cs="宋体"/>
                <w:szCs w:val="21"/>
                <w:highlight w:val="none"/>
                <w:lang w:bidi="ar"/>
              </w:rPr>
              <w:t>金刚砂地面固化剂</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4339210C">
            <w:pPr>
              <w:jc w:val="center"/>
              <w:rPr>
                <w:rFonts w:hint="eastAsia" w:ascii="宋体" w:hAnsi="宋体"/>
                <w:szCs w:val="21"/>
                <w:highlight w:val="none"/>
              </w:rPr>
            </w:pPr>
            <w:r>
              <w:rPr>
                <w:rFonts w:hint="eastAsia" w:ascii="宋体" w:hAnsi="宋体" w:cs="宋体"/>
                <w:szCs w:val="21"/>
                <w:highlight w:val="none"/>
                <w:lang w:bidi="ar"/>
              </w:rPr>
              <w:t>中思诺、金铸、肯耐特、嘉宝莉、西卡</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35625440">
            <w:pPr>
              <w:jc w:val="center"/>
              <w:rPr>
                <w:rFonts w:hint="eastAsia" w:ascii="宋体" w:hAnsi="宋体"/>
                <w:szCs w:val="21"/>
                <w:highlight w:val="yellow"/>
              </w:rPr>
            </w:pPr>
          </w:p>
        </w:tc>
      </w:tr>
      <w:tr w14:paraId="31A7C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225B382F">
            <w:pPr>
              <w:jc w:val="center"/>
              <w:rPr>
                <w:rFonts w:hint="eastAsia" w:ascii="宋体" w:hAnsi="宋体"/>
                <w:szCs w:val="21"/>
                <w:highlight w:val="none"/>
              </w:rPr>
            </w:pPr>
            <w:r>
              <w:rPr>
                <w:rFonts w:hint="eastAsia" w:ascii="宋体" w:hAnsi="宋体"/>
                <w:szCs w:val="21"/>
                <w:highlight w:val="none"/>
              </w:rPr>
              <w:t>3</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7F6B85DA">
            <w:pPr>
              <w:widowControl/>
              <w:jc w:val="center"/>
              <w:rPr>
                <w:rFonts w:hint="eastAsia" w:ascii="仿宋" w:hAnsi="仿宋" w:eastAsia="仿宋" w:cs="仿宋"/>
                <w:sz w:val="24"/>
                <w:highlight w:val="none"/>
              </w:rPr>
            </w:pPr>
            <w:r>
              <w:rPr>
                <w:rFonts w:ascii="仿宋" w:hAnsi="仿宋" w:eastAsia="仿宋" w:cs="仿宋"/>
                <w:sz w:val="24"/>
                <w:highlight w:val="none"/>
                <w:lang w:bidi="ar"/>
              </w:rPr>
              <w:t>地坪切缝填缝剂</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0432A4D5">
            <w:pPr>
              <w:widowControl/>
              <w:jc w:val="center"/>
              <w:rPr>
                <w:rFonts w:hint="eastAsia" w:ascii="仿宋" w:hAnsi="仿宋" w:eastAsia="仿宋" w:cs="仿宋"/>
                <w:sz w:val="24"/>
                <w:highlight w:val="none"/>
              </w:rPr>
            </w:pPr>
            <w:r>
              <w:rPr>
                <w:rFonts w:ascii="仿宋" w:hAnsi="仿宋" w:eastAsia="仿宋" w:cs="仿宋"/>
                <w:sz w:val="24"/>
                <w:highlight w:val="none"/>
                <w:lang w:bidi="ar"/>
              </w:rPr>
              <w:t>SIKA、BASF、MASTER、COELAN</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191FB9A6">
            <w:pPr>
              <w:jc w:val="center"/>
              <w:rPr>
                <w:rFonts w:hint="eastAsia" w:ascii="宋体" w:hAnsi="宋体"/>
                <w:szCs w:val="21"/>
                <w:highlight w:val="yellow"/>
              </w:rPr>
            </w:pPr>
          </w:p>
        </w:tc>
      </w:tr>
      <w:tr w14:paraId="3F59B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2A7551AF">
            <w:pPr>
              <w:jc w:val="center"/>
              <w:rPr>
                <w:rFonts w:hint="eastAsia" w:ascii="宋体" w:hAnsi="宋体"/>
                <w:szCs w:val="21"/>
                <w:highlight w:val="none"/>
              </w:rPr>
            </w:pPr>
            <w:r>
              <w:rPr>
                <w:rFonts w:hint="eastAsia" w:ascii="宋体" w:hAnsi="宋体"/>
                <w:szCs w:val="21"/>
                <w:highlight w:val="none"/>
              </w:rPr>
              <w:t>4</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5960B3CF">
            <w:pPr>
              <w:ind w:firstLine="480"/>
              <w:jc w:val="center"/>
              <w:rPr>
                <w:rFonts w:hint="eastAsia" w:ascii="宋体" w:hAnsi="宋体"/>
                <w:szCs w:val="21"/>
                <w:highlight w:val="none"/>
              </w:rPr>
            </w:pPr>
            <w:r>
              <w:rPr>
                <w:rFonts w:hint="eastAsia" w:ascii="宋体" w:hAnsi="宋体" w:cs="宋体"/>
                <w:szCs w:val="21"/>
                <w:highlight w:val="none"/>
                <w:lang w:bidi="ar"/>
              </w:rPr>
              <w:t>洁净墙板</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7B9CD38C">
            <w:pPr>
              <w:ind w:firstLine="480"/>
              <w:jc w:val="center"/>
              <w:rPr>
                <w:rFonts w:hint="eastAsia" w:ascii="宋体" w:hAnsi="宋体"/>
                <w:szCs w:val="21"/>
                <w:highlight w:val="none"/>
              </w:rPr>
            </w:pPr>
            <w:r>
              <w:rPr>
                <w:rFonts w:hint="eastAsia" w:ascii="宋体" w:hAnsi="宋体" w:cs="宋体"/>
                <w:szCs w:val="21"/>
                <w:highlight w:val="none"/>
                <w:lang w:bidi="ar"/>
              </w:rPr>
              <w:t>江南、永盛、协多利、林森</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6B3B87BE">
            <w:pPr>
              <w:jc w:val="center"/>
              <w:rPr>
                <w:rFonts w:hint="eastAsia" w:ascii="宋体" w:hAnsi="宋体"/>
                <w:szCs w:val="21"/>
                <w:highlight w:val="yellow"/>
              </w:rPr>
            </w:pPr>
          </w:p>
        </w:tc>
      </w:tr>
      <w:tr w14:paraId="07861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7742842C">
            <w:pPr>
              <w:jc w:val="center"/>
              <w:rPr>
                <w:rFonts w:hint="eastAsia" w:ascii="宋体" w:hAnsi="宋体"/>
                <w:szCs w:val="21"/>
                <w:highlight w:val="none"/>
              </w:rPr>
            </w:pPr>
            <w:r>
              <w:rPr>
                <w:rFonts w:hint="eastAsia" w:ascii="宋体" w:hAnsi="宋体"/>
                <w:szCs w:val="21"/>
                <w:highlight w:val="none"/>
              </w:rPr>
              <w:t>5</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66D62CC2">
            <w:pPr>
              <w:jc w:val="center"/>
              <w:rPr>
                <w:rFonts w:hint="eastAsia" w:ascii="宋体" w:hAnsi="宋体"/>
                <w:szCs w:val="21"/>
                <w:highlight w:val="none"/>
              </w:rPr>
            </w:pPr>
            <w:r>
              <w:rPr>
                <w:rFonts w:hint="eastAsia" w:ascii="宋体" w:hAnsi="宋体" w:cs="宋体"/>
                <w:szCs w:val="21"/>
                <w:highlight w:val="none"/>
                <w:lang w:bidi="ar"/>
              </w:rPr>
              <w:t>室内洁净钢门</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123EA9B9">
            <w:pPr>
              <w:jc w:val="center"/>
              <w:rPr>
                <w:rFonts w:hint="eastAsia" w:ascii="宋体" w:hAnsi="宋体"/>
                <w:szCs w:val="21"/>
                <w:highlight w:val="none"/>
              </w:rPr>
            </w:pPr>
            <w:r>
              <w:rPr>
                <w:rFonts w:hint="eastAsia" w:ascii="宋体" w:hAnsi="宋体" w:cs="宋体"/>
                <w:szCs w:val="21"/>
                <w:highlight w:val="none"/>
                <w:lang w:bidi="ar"/>
              </w:rPr>
              <w:t>远大、亚太、鲍尔、林森</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6A4AA768">
            <w:pPr>
              <w:jc w:val="center"/>
              <w:rPr>
                <w:rFonts w:hint="eastAsia" w:ascii="宋体" w:hAnsi="宋体"/>
                <w:szCs w:val="21"/>
                <w:highlight w:val="yellow"/>
              </w:rPr>
            </w:pPr>
          </w:p>
        </w:tc>
      </w:tr>
      <w:tr w14:paraId="55846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12CDE8F6">
            <w:pPr>
              <w:jc w:val="center"/>
              <w:rPr>
                <w:rFonts w:hint="eastAsia" w:ascii="宋体" w:hAnsi="宋体"/>
                <w:szCs w:val="21"/>
                <w:highlight w:val="none"/>
              </w:rPr>
            </w:pPr>
            <w:r>
              <w:rPr>
                <w:rFonts w:hint="eastAsia" w:ascii="宋体" w:hAnsi="宋体"/>
                <w:szCs w:val="21"/>
                <w:highlight w:val="none"/>
              </w:rPr>
              <w:t>6</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56C615EA">
            <w:pPr>
              <w:ind w:firstLine="480"/>
              <w:jc w:val="center"/>
              <w:rPr>
                <w:rFonts w:hint="eastAsia" w:ascii="宋体" w:hAnsi="宋体"/>
                <w:szCs w:val="21"/>
                <w:highlight w:val="none"/>
              </w:rPr>
            </w:pPr>
            <w:r>
              <w:rPr>
                <w:rFonts w:hint="eastAsia" w:ascii="宋体" w:hAnsi="宋体" w:cs="宋体"/>
                <w:szCs w:val="21"/>
                <w:highlight w:val="none"/>
                <w:lang w:bidi="ar"/>
              </w:rPr>
              <w:t>防火门</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3369CD80">
            <w:pPr>
              <w:jc w:val="center"/>
              <w:rPr>
                <w:rFonts w:hint="eastAsia" w:ascii="宋体" w:hAnsi="宋体"/>
                <w:szCs w:val="21"/>
                <w:highlight w:val="none"/>
              </w:rPr>
            </w:pPr>
            <w:r>
              <w:rPr>
                <w:rFonts w:hint="eastAsia" w:ascii="宋体" w:hAnsi="宋体" w:cs="宋体"/>
                <w:szCs w:val="21"/>
                <w:highlight w:val="none"/>
                <w:lang w:bidi="ar"/>
              </w:rPr>
              <w:t>霍曼、美满、鲍尔、林森</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797C585F">
            <w:pPr>
              <w:jc w:val="center"/>
              <w:rPr>
                <w:rFonts w:hint="eastAsia" w:ascii="宋体" w:hAnsi="宋体"/>
                <w:szCs w:val="21"/>
                <w:highlight w:val="yellow"/>
              </w:rPr>
            </w:pPr>
          </w:p>
        </w:tc>
      </w:tr>
      <w:tr w14:paraId="59406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27C6453F">
            <w:pPr>
              <w:jc w:val="center"/>
              <w:rPr>
                <w:rFonts w:hint="eastAsia" w:ascii="宋体" w:hAnsi="宋体"/>
                <w:szCs w:val="21"/>
                <w:highlight w:val="none"/>
              </w:rPr>
            </w:pPr>
            <w:r>
              <w:rPr>
                <w:rFonts w:hint="eastAsia" w:ascii="宋体" w:hAnsi="宋体"/>
                <w:szCs w:val="21"/>
                <w:highlight w:val="none"/>
              </w:rPr>
              <w:t>7</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100AD398">
            <w:pPr>
              <w:ind w:firstLine="480"/>
              <w:jc w:val="center"/>
              <w:rPr>
                <w:rFonts w:hint="eastAsia" w:ascii="宋体" w:hAnsi="宋体"/>
                <w:szCs w:val="21"/>
                <w:highlight w:val="none"/>
              </w:rPr>
            </w:pPr>
            <w:r>
              <w:rPr>
                <w:rFonts w:hint="eastAsia" w:ascii="宋体" w:hAnsi="宋体" w:cs="宋体"/>
                <w:szCs w:val="21"/>
                <w:highlight w:val="none"/>
                <w:lang w:bidi="ar"/>
              </w:rPr>
              <w:t>五金件</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049F679D">
            <w:pPr>
              <w:jc w:val="center"/>
              <w:rPr>
                <w:rFonts w:hint="eastAsia" w:ascii="宋体" w:hAnsi="宋体"/>
                <w:szCs w:val="21"/>
                <w:highlight w:val="none"/>
              </w:rPr>
            </w:pPr>
            <w:r>
              <w:rPr>
                <w:rFonts w:hint="eastAsia" w:ascii="宋体" w:hAnsi="宋体" w:cs="宋体"/>
                <w:szCs w:val="21"/>
                <w:highlight w:val="none"/>
                <w:lang w:bidi="ar"/>
              </w:rPr>
              <w:t>坚朗、多玛、立兴</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346A671C">
            <w:pPr>
              <w:jc w:val="center"/>
              <w:rPr>
                <w:rFonts w:hint="eastAsia" w:ascii="宋体" w:hAnsi="宋体"/>
                <w:szCs w:val="21"/>
                <w:highlight w:val="yellow"/>
              </w:rPr>
            </w:pPr>
          </w:p>
        </w:tc>
      </w:tr>
      <w:tr w14:paraId="77ACA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3E22759E">
            <w:pPr>
              <w:jc w:val="center"/>
              <w:rPr>
                <w:rFonts w:hint="eastAsia" w:ascii="宋体" w:hAnsi="宋体"/>
                <w:szCs w:val="21"/>
                <w:highlight w:val="none"/>
              </w:rPr>
            </w:pPr>
            <w:r>
              <w:rPr>
                <w:rFonts w:hint="eastAsia" w:ascii="宋体" w:hAnsi="宋体"/>
                <w:szCs w:val="21"/>
                <w:highlight w:val="none"/>
              </w:rPr>
              <w:t>8</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0530CD13">
            <w:pPr>
              <w:jc w:val="center"/>
              <w:rPr>
                <w:rFonts w:hint="eastAsia" w:ascii="宋体" w:hAnsi="宋体"/>
                <w:szCs w:val="21"/>
                <w:highlight w:val="none"/>
              </w:rPr>
            </w:pPr>
            <w:r>
              <w:rPr>
                <w:rFonts w:hint="eastAsia" w:ascii="宋体" w:hAnsi="宋体" w:cs="宋体"/>
                <w:szCs w:val="21"/>
                <w:highlight w:val="none"/>
                <w:lang w:bidi="ar"/>
              </w:rPr>
              <w:t>室内洁净窗玻璃</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1CB4C713">
            <w:pPr>
              <w:ind w:firstLine="480"/>
              <w:jc w:val="center"/>
              <w:rPr>
                <w:rFonts w:hint="eastAsia" w:ascii="宋体" w:hAnsi="宋体"/>
                <w:szCs w:val="21"/>
                <w:highlight w:val="none"/>
              </w:rPr>
            </w:pPr>
            <w:r>
              <w:rPr>
                <w:rFonts w:hint="eastAsia" w:ascii="宋体" w:hAnsi="宋体" w:cs="宋体"/>
                <w:szCs w:val="21"/>
                <w:highlight w:val="none"/>
                <w:lang w:bidi="ar"/>
              </w:rPr>
              <w:t>耀皮、南玻、北玻、林森</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4512820F">
            <w:pPr>
              <w:ind w:right="113"/>
              <w:jc w:val="center"/>
              <w:rPr>
                <w:rFonts w:hint="eastAsia" w:ascii="宋体" w:hAnsi="宋体"/>
                <w:szCs w:val="21"/>
                <w:highlight w:val="yellow"/>
              </w:rPr>
            </w:pPr>
          </w:p>
        </w:tc>
      </w:tr>
      <w:tr w14:paraId="5817D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5B0C7390">
            <w:pPr>
              <w:jc w:val="center"/>
              <w:rPr>
                <w:rFonts w:hint="eastAsia" w:ascii="宋体" w:hAnsi="宋体"/>
                <w:szCs w:val="21"/>
                <w:highlight w:val="none"/>
              </w:rPr>
            </w:pPr>
            <w:r>
              <w:rPr>
                <w:rFonts w:hint="eastAsia" w:ascii="宋体" w:hAnsi="宋体"/>
                <w:szCs w:val="21"/>
                <w:highlight w:val="none"/>
              </w:rPr>
              <w:t>9</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588A6311">
            <w:pPr>
              <w:ind w:firstLine="480"/>
              <w:jc w:val="center"/>
              <w:rPr>
                <w:rFonts w:hint="eastAsia" w:ascii="宋体" w:hAnsi="宋体"/>
                <w:szCs w:val="21"/>
                <w:highlight w:val="none"/>
              </w:rPr>
            </w:pPr>
            <w:r>
              <w:rPr>
                <w:rFonts w:hint="eastAsia" w:ascii="宋体" w:hAnsi="宋体" w:cs="宋体"/>
                <w:szCs w:val="21"/>
                <w:highlight w:val="none"/>
                <w:lang w:bidi="ar"/>
              </w:rPr>
              <w:t>铝合金型材</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30CFE1E5">
            <w:pPr>
              <w:jc w:val="center"/>
              <w:rPr>
                <w:rFonts w:hint="eastAsia" w:ascii="宋体" w:hAnsi="宋体"/>
                <w:szCs w:val="21"/>
                <w:highlight w:val="none"/>
              </w:rPr>
            </w:pPr>
            <w:r>
              <w:rPr>
                <w:rFonts w:hint="eastAsia" w:ascii="宋体" w:hAnsi="宋体" w:cs="宋体"/>
                <w:szCs w:val="21"/>
                <w:highlight w:val="none"/>
                <w:lang w:bidi="ar"/>
              </w:rPr>
              <w:t>忠旺、坚美、凤铝</w:t>
            </w:r>
            <w:r>
              <w:rPr>
                <w:rFonts w:hint="eastAsia" w:cs="宋体" w:asciiTheme="minorEastAsia" w:hAnsiTheme="minorEastAsia" w:eastAsiaTheme="minorEastAsia"/>
                <w:szCs w:val="21"/>
                <w:highlight w:val="none"/>
                <w:lang w:bidi="ar"/>
              </w:rPr>
              <w:t>、龙新、</w:t>
            </w:r>
            <w:r>
              <w:rPr>
                <w:rFonts w:hint="eastAsia" w:cs="仿宋" w:asciiTheme="minorEastAsia" w:hAnsiTheme="minorEastAsia" w:eastAsiaTheme="minorEastAsia"/>
                <w:szCs w:val="21"/>
                <w:highlight w:val="none"/>
                <w:lang w:bidi="ar"/>
              </w:rPr>
              <w:t>华建</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755BEF42">
            <w:pPr>
              <w:jc w:val="center"/>
              <w:rPr>
                <w:rFonts w:hint="eastAsia" w:ascii="宋体" w:hAnsi="宋体"/>
                <w:szCs w:val="21"/>
                <w:highlight w:val="yellow"/>
              </w:rPr>
            </w:pPr>
          </w:p>
        </w:tc>
      </w:tr>
      <w:tr w14:paraId="25EF3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30488F86">
            <w:pPr>
              <w:jc w:val="center"/>
              <w:rPr>
                <w:rFonts w:hint="eastAsia" w:ascii="宋体" w:hAnsi="宋体"/>
                <w:szCs w:val="21"/>
                <w:highlight w:val="none"/>
              </w:rPr>
            </w:pPr>
            <w:r>
              <w:rPr>
                <w:rFonts w:hint="eastAsia" w:ascii="宋体" w:hAnsi="宋体"/>
                <w:szCs w:val="21"/>
                <w:highlight w:val="none"/>
              </w:rPr>
              <w:t>10</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1D2A9033">
            <w:pPr>
              <w:widowControl/>
              <w:jc w:val="center"/>
              <w:rPr>
                <w:rFonts w:hint="eastAsia" w:ascii="仿宋" w:hAnsi="仿宋" w:eastAsia="仿宋" w:cs="仿宋"/>
                <w:sz w:val="24"/>
                <w:highlight w:val="none"/>
              </w:rPr>
            </w:pPr>
            <w:r>
              <w:rPr>
                <w:rFonts w:ascii="仿宋" w:hAnsi="仿宋" w:eastAsia="仿宋" w:cs="仿宋"/>
                <w:sz w:val="24"/>
                <w:highlight w:val="none"/>
                <w:lang w:bidi="ar"/>
              </w:rPr>
              <w:t>钢筋</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19A8C29E">
            <w:pPr>
              <w:widowControl/>
              <w:jc w:val="center"/>
              <w:rPr>
                <w:rFonts w:hint="eastAsia" w:ascii="仿宋" w:hAnsi="仿宋" w:eastAsia="仿宋" w:cs="仿宋"/>
                <w:sz w:val="24"/>
                <w:highlight w:val="none"/>
              </w:rPr>
            </w:pPr>
            <w:r>
              <w:rPr>
                <w:rFonts w:ascii="仿宋" w:hAnsi="仿宋" w:eastAsia="仿宋" w:cs="仿宋"/>
                <w:sz w:val="24"/>
                <w:highlight w:val="none"/>
                <w:lang w:bidi="ar"/>
              </w:rPr>
              <w:t>沙钢、河钢、马钢、永钢、攀钢、中天</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7A460C3A">
            <w:pPr>
              <w:jc w:val="center"/>
              <w:rPr>
                <w:rFonts w:hint="eastAsia" w:ascii="宋体" w:hAnsi="宋体"/>
                <w:szCs w:val="21"/>
                <w:highlight w:val="yellow"/>
              </w:rPr>
            </w:pPr>
          </w:p>
        </w:tc>
      </w:tr>
      <w:tr w14:paraId="23E8D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7503CEDF">
            <w:pPr>
              <w:jc w:val="center"/>
              <w:rPr>
                <w:rFonts w:hint="eastAsia" w:ascii="宋体" w:hAnsi="宋体"/>
                <w:szCs w:val="21"/>
                <w:highlight w:val="none"/>
              </w:rPr>
            </w:pPr>
            <w:r>
              <w:rPr>
                <w:rFonts w:hint="eastAsia" w:ascii="宋体" w:hAnsi="宋体"/>
                <w:szCs w:val="21"/>
                <w:highlight w:val="none"/>
              </w:rPr>
              <w:t>11</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705ABCB5">
            <w:pPr>
              <w:widowControl/>
              <w:jc w:val="center"/>
              <w:rPr>
                <w:rFonts w:hint="eastAsia" w:ascii="仿宋" w:hAnsi="仿宋" w:eastAsia="仿宋" w:cs="仿宋"/>
                <w:sz w:val="24"/>
                <w:highlight w:val="none"/>
              </w:rPr>
            </w:pPr>
            <w:r>
              <w:rPr>
                <w:rFonts w:ascii="仿宋" w:hAnsi="仿宋" w:eastAsia="仿宋" w:cs="仿宋"/>
                <w:sz w:val="24"/>
                <w:highlight w:val="none"/>
                <w:lang w:bidi="ar"/>
              </w:rPr>
              <w:t>钢板</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433F3D0C">
            <w:pPr>
              <w:widowControl/>
              <w:jc w:val="center"/>
              <w:rPr>
                <w:rFonts w:hint="eastAsia" w:ascii="仿宋" w:hAnsi="仿宋" w:eastAsia="仿宋" w:cs="仿宋"/>
                <w:sz w:val="24"/>
                <w:highlight w:val="none"/>
              </w:rPr>
            </w:pPr>
            <w:r>
              <w:rPr>
                <w:rFonts w:ascii="仿宋" w:hAnsi="仿宋" w:eastAsia="仿宋" w:cs="仿宋"/>
                <w:sz w:val="24"/>
                <w:highlight w:val="none"/>
                <w:lang w:bidi="ar"/>
              </w:rPr>
              <w:t>上海宝钢、宝武钢铁、河钢、攀钢、马钢、本钢</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38A6B977">
            <w:pPr>
              <w:jc w:val="center"/>
              <w:rPr>
                <w:rFonts w:hint="eastAsia" w:ascii="宋体" w:hAnsi="宋体"/>
                <w:szCs w:val="21"/>
                <w:highlight w:val="yellow"/>
              </w:rPr>
            </w:pPr>
          </w:p>
        </w:tc>
      </w:tr>
      <w:tr w14:paraId="7FE3F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522865DE">
            <w:pPr>
              <w:jc w:val="center"/>
              <w:rPr>
                <w:rFonts w:hint="eastAsia" w:ascii="宋体" w:hAnsi="宋体"/>
                <w:szCs w:val="21"/>
                <w:highlight w:val="none"/>
              </w:rPr>
            </w:pPr>
            <w:r>
              <w:rPr>
                <w:rFonts w:hint="eastAsia" w:ascii="宋体" w:hAnsi="宋体"/>
                <w:szCs w:val="21"/>
                <w:highlight w:val="none"/>
              </w:rPr>
              <w:t>12</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16A7A728">
            <w:pPr>
              <w:widowControl/>
              <w:jc w:val="center"/>
              <w:rPr>
                <w:rFonts w:hint="eastAsia" w:ascii="仿宋" w:hAnsi="仿宋" w:eastAsia="仿宋" w:cs="仿宋"/>
                <w:sz w:val="24"/>
                <w:highlight w:val="none"/>
              </w:rPr>
            </w:pPr>
            <w:r>
              <w:rPr>
                <w:rFonts w:ascii="仿宋" w:hAnsi="仿宋" w:eastAsia="仿宋" w:cs="仿宋"/>
                <w:sz w:val="24"/>
                <w:highlight w:val="none"/>
                <w:lang w:bidi="ar"/>
              </w:rPr>
              <w:t>热镀锌钢板</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060D63DB">
            <w:pPr>
              <w:widowControl/>
              <w:jc w:val="center"/>
              <w:rPr>
                <w:rFonts w:hint="eastAsia" w:ascii="仿宋" w:hAnsi="仿宋" w:eastAsia="仿宋" w:cs="仿宋"/>
                <w:sz w:val="24"/>
                <w:highlight w:val="none"/>
              </w:rPr>
            </w:pPr>
            <w:r>
              <w:rPr>
                <w:rFonts w:ascii="仿宋" w:hAnsi="仿宋" w:eastAsia="仿宋" w:cs="仿宋"/>
                <w:sz w:val="24"/>
                <w:highlight w:val="none"/>
                <w:lang w:bidi="ar"/>
              </w:rPr>
              <w:t>上海宝钢、宝武钢铁、博思格（苏州）、马钢</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4EB7E817">
            <w:pPr>
              <w:jc w:val="center"/>
              <w:rPr>
                <w:rFonts w:hint="eastAsia" w:ascii="宋体" w:hAnsi="宋体"/>
                <w:szCs w:val="21"/>
                <w:highlight w:val="yellow"/>
              </w:rPr>
            </w:pPr>
          </w:p>
        </w:tc>
      </w:tr>
      <w:tr w14:paraId="6E50E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63F8BB32">
            <w:pPr>
              <w:jc w:val="center"/>
              <w:rPr>
                <w:rFonts w:hint="eastAsia" w:ascii="宋体" w:hAnsi="宋体"/>
                <w:szCs w:val="21"/>
                <w:highlight w:val="none"/>
              </w:rPr>
            </w:pPr>
            <w:r>
              <w:rPr>
                <w:rFonts w:hint="eastAsia" w:ascii="宋体" w:hAnsi="宋体"/>
                <w:szCs w:val="21"/>
                <w:highlight w:val="none"/>
              </w:rPr>
              <w:t>13</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4A692B04">
            <w:pPr>
              <w:widowControl/>
              <w:jc w:val="center"/>
              <w:rPr>
                <w:rFonts w:hint="eastAsia" w:ascii="仿宋" w:hAnsi="仿宋" w:eastAsia="仿宋" w:cs="仿宋"/>
                <w:sz w:val="24"/>
                <w:highlight w:val="none"/>
              </w:rPr>
            </w:pPr>
            <w:r>
              <w:rPr>
                <w:rFonts w:ascii="仿宋" w:hAnsi="仿宋" w:eastAsia="仿宋" w:cs="仿宋"/>
                <w:sz w:val="24"/>
                <w:highlight w:val="none"/>
                <w:lang w:bidi="ar"/>
              </w:rPr>
              <w:t>不锈钢板</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0DBE9030">
            <w:pPr>
              <w:widowControl/>
              <w:jc w:val="center"/>
              <w:rPr>
                <w:rFonts w:hint="eastAsia" w:ascii="仿宋" w:hAnsi="仿宋" w:eastAsia="仿宋" w:cs="仿宋"/>
                <w:sz w:val="24"/>
                <w:highlight w:val="none"/>
              </w:rPr>
            </w:pPr>
            <w:r>
              <w:rPr>
                <w:rFonts w:ascii="仿宋" w:hAnsi="仿宋" w:eastAsia="仿宋" w:cs="仿宋"/>
                <w:sz w:val="24"/>
                <w:highlight w:val="none"/>
                <w:lang w:bidi="ar"/>
              </w:rPr>
              <w:t>太钢、宝武钢铁、浦项（张家港）</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41CC76C1">
            <w:pPr>
              <w:jc w:val="center"/>
              <w:rPr>
                <w:rFonts w:hint="eastAsia" w:ascii="宋体" w:hAnsi="宋体"/>
                <w:szCs w:val="21"/>
                <w:highlight w:val="yellow"/>
              </w:rPr>
            </w:pPr>
          </w:p>
        </w:tc>
      </w:tr>
      <w:tr w14:paraId="4DD47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69331FC3">
            <w:pPr>
              <w:jc w:val="center"/>
              <w:rPr>
                <w:rFonts w:hint="eastAsia" w:ascii="宋体" w:hAnsi="宋体"/>
                <w:szCs w:val="21"/>
                <w:highlight w:val="none"/>
              </w:rPr>
            </w:pPr>
            <w:r>
              <w:rPr>
                <w:rFonts w:hint="eastAsia" w:ascii="宋体" w:hAnsi="宋体"/>
                <w:szCs w:val="21"/>
                <w:highlight w:val="none"/>
              </w:rPr>
              <w:t>14</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738D4800">
            <w:pPr>
              <w:widowControl/>
              <w:jc w:val="center"/>
              <w:rPr>
                <w:rFonts w:hint="eastAsia" w:ascii="仿宋" w:hAnsi="仿宋" w:eastAsia="仿宋" w:cs="仿宋"/>
                <w:sz w:val="24"/>
                <w:highlight w:val="none"/>
              </w:rPr>
            </w:pPr>
            <w:r>
              <w:rPr>
                <w:rFonts w:ascii="仿宋" w:hAnsi="仿宋" w:eastAsia="仿宋" w:cs="仿宋"/>
                <w:sz w:val="24"/>
                <w:highlight w:val="none"/>
                <w:lang w:bidi="ar"/>
              </w:rPr>
              <w:t>型钢</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51603BA8">
            <w:pPr>
              <w:widowControl/>
              <w:jc w:val="center"/>
              <w:rPr>
                <w:rFonts w:hint="eastAsia" w:ascii="仿宋" w:hAnsi="仿宋" w:eastAsia="仿宋" w:cs="仿宋"/>
                <w:sz w:val="24"/>
                <w:highlight w:val="none"/>
              </w:rPr>
            </w:pPr>
            <w:r>
              <w:rPr>
                <w:rFonts w:ascii="仿宋" w:hAnsi="仿宋" w:eastAsia="仿宋" w:cs="仿宋"/>
                <w:sz w:val="24"/>
                <w:highlight w:val="none"/>
                <w:lang w:bidi="ar"/>
              </w:rPr>
              <w:t>包钢、沙钢、攀钢</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23BDD79E">
            <w:pPr>
              <w:jc w:val="center"/>
              <w:rPr>
                <w:rFonts w:hint="eastAsia" w:ascii="宋体" w:hAnsi="宋体"/>
                <w:szCs w:val="21"/>
                <w:highlight w:val="yellow"/>
              </w:rPr>
            </w:pPr>
          </w:p>
        </w:tc>
      </w:tr>
      <w:tr w14:paraId="19E49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1E9AD532">
            <w:pPr>
              <w:jc w:val="center"/>
              <w:rPr>
                <w:rFonts w:hint="eastAsia" w:ascii="宋体" w:hAnsi="宋体"/>
                <w:szCs w:val="21"/>
                <w:highlight w:val="none"/>
              </w:rPr>
            </w:pPr>
            <w:r>
              <w:rPr>
                <w:rFonts w:hint="eastAsia" w:ascii="宋体" w:hAnsi="宋体"/>
                <w:szCs w:val="21"/>
                <w:highlight w:val="none"/>
              </w:rPr>
              <w:t>15</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284A46BC">
            <w:pPr>
              <w:widowControl/>
              <w:jc w:val="center"/>
              <w:rPr>
                <w:rFonts w:hint="eastAsia" w:ascii="仿宋" w:hAnsi="仿宋" w:eastAsia="仿宋" w:cs="仿宋"/>
                <w:sz w:val="24"/>
                <w:highlight w:val="none"/>
              </w:rPr>
            </w:pPr>
            <w:r>
              <w:rPr>
                <w:rFonts w:ascii="仿宋" w:hAnsi="仿宋" w:eastAsia="仿宋" w:cs="仿宋"/>
                <w:sz w:val="24"/>
                <w:highlight w:val="none"/>
                <w:lang w:bidi="ar"/>
              </w:rPr>
              <w:t>镀锌檩条</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239E7A33">
            <w:pPr>
              <w:widowControl/>
              <w:jc w:val="center"/>
              <w:rPr>
                <w:rFonts w:hint="eastAsia" w:ascii="仿宋" w:hAnsi="仿宋" w:eastAsia="仿宋" w:cs="仿宋"/>
                <w:sz w:val="24"/>
                <w:highlight w:val="none"/>
              </w:rPr>
            </w:pPr>
            <w:r>
              <w:rPr>
                <w:rFonts w:ascii="仿宋" w:hAnsi="仿宋" w:eastAsia="仿宋" w:cs="仿宋"/>
                <w:sz w:val="24"/>
                <w:highlight w:val="none"/>
                <w:lang w:bidi="ar"/>
              </w:rPr>
              <w:t>友发、金洲、国强</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41ABBA3E">
            <w:pPr>
              <w:jc w:val="center"/>
              <w:rPr>
                <w:rFonts w:hint="eastAsia" w:ascii="宋体" w:hAnsi="宋体"/>
                <w:szCs w:val="21"/>
                <w:highlight w:val="yellow"/>
              </w:rPr>
            </w:pPr>
          </w:p>
        </w:tc>
      </w:tr>
      <w:tr w14:paraId="062B2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59BAEFDF">
            <w:pPr>
              <w:jc w:val="center"/>
              <w:rPr>
                <w:rFonts w:hint="eastAsia" w:ascii="宋体" w:hAnsi="宋体"/>
                <w:szCs w:val="21"/>
                <w:highlight w:val="none"/>
              </w:rPr>
            </w:pPr>
            <w:r>
              <w:rPr>
                <w:rFonts w:hint="eastAsia" w:ascii="宋体" w:hAnsi="宋体"/>
                <w:szCs w:val="21"/>
                <w:highlight w:val="none"/>
              </w:rPr>
              <w:t>16</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56FDABA3">
            <w:pPr>
              <w:widowControl/>
              <w:jc w:val="center"/>
              <w:rPr>
                <w:rFonts w:hint="eastAsia" w:ascii="仿宋" w:hAnsi="仿宋" w:eastAsia="仿宋" w:cs="仿宋"/>
                <w:sz w:val="24"/>
                <w:highlight w:val="none"/>
              </w:rPr>
            </w:pPr>
            <w:r>
              <w:rPr>
                <w:rFonts w:ascii="仿宋" w:hAnsi="仿宋" w:eastAsia="仿宋" w:cs="仿宋"/>
                <w:sz w:val="24"/>
                <w:highlight w:val="none"/>
                <w:lang w:bidi="ar"/>
              </w:rPr>
              <w:t>彩钢板</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517F8ABE">
            <w:pPr>
              <w:widowControl/>
              <w:jc w:val="center"/>
              <w:rPr>
                <w:rFonts w:hint="eastAsia" w:ascii="仿宋" w:hAnsi="仿宋" w:eastAsia="仿宋" w:cs="仿宋"/>
                <w:sz w:val="24"/>
                <w:highlight w:val="none"/>
              </w:rPr>
            </w:pPr>
            <w:r>
              <w:rPr>
                <w:rFonts w:ascii="仿宋" w:hAnsi="仿宋" w:eastAsia="仿宋" w:cs="仿宋"/>
                <w:sz w:val="24"/>
                <w:highlight w:val="none"/>
                <w:lang w:bidi="ar"/>
              </w:rPr>
              <w:t>上海宝钢、博思格（苏州）、淀川盛馀（钉子：喜利得、百密得、实保威）</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4B34CC3D">
            <w:pPr>
              <w:jc w:val="center"/>
              <w:rPr>
                <w:rFonts w:hint="eastAsia" w:ascii="宋体" w:hAnsi="宋体"/>
                <w:szCs w:val="21"/>
                <w:highlight w:val="yellow"/>
              </w:rPr>
            </w:pPr>
          </w:p>
        </w:tc>
      </w:tr>
      <w:tr w14:paraId="77EA5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535E5DFD">
            <w:pPr>
              <w:jc w:val="center"/>
              <w:rPr>
                <w:rFonts w:hint="eastAsia" w:ascii="宋体" w:hAnsi="宋体"/>
                <w:szCs w:val="21"/>
                <w:highlight w:val="none"/>
              </w:rPr>
            </w:pPr>
            <w:r>
              <w:rPr>
                <w:rFonts w:hint="eastAsia" w:ascii="宋体" w:hAnsi="宋体"/>
                <w:szCs w:val="21"/>
                <w:highlight w:val="none"/>
              </w:rPr>
              <w:t>17</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0A759396">
            <w:pPr>
              <w:widowControl/>
              <w:jc w:val="center"/>
              <w:rPr>
                <w:rFonts w:hint="eastAsia" w:ascii="仿宋" w:hAnsi="仿宋" w:eastAsia="仿宋" w:cs="仿宋"/>
                <w:sz w:val="24"/>
                <w:highlight w:val="none"/>
              </w:rPr>
            </w:pPr>
            <w:r>
              <w:rPr>
                <w:rFonts w:ascii="仿宋" w:hAnsi="仿宋" w:eastAsia="仿宋" w:cs="仿宋"/>
                <w:sz w:val="24"/>
                <w:highlight w:val="none"/>
                <w:lang w:bidi="ar"/>
              </w:rPr>
              <w:t>水泥</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12ED2C2E">
            <w:pPr>
              <w:widowControl/>
              <w:jc w:val="center"/>
              <w:rPr>
                <w:rFonts w:hint="eastAsia" w:ascii="仿宋" w:hAnsi="仿宋" w:eastAsia="仿宋" w:cs="仿宋"/>
                <w:sz w:val="24"/>
                <w:highlight w:val="none"/>
              </w:rPr>
            </w:pPr>
            <w:r>
              <w:rPr>
                <w:rFonts w:ascii="仿宋" w:hAnsi="仿宋" w:eastAsia="仿宋" w:cs="仿宋"/>
                <w:sz w:val="24"/>
                <w:highlight w:val="none"/>
                <w:lang w:bidi="ar"/>
              </w:rPr>
              <w:t>瑞新、重山、红狮或当地优质品牌</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08B5E758">
            <w:pPr>
              <w:jc w:val="center"/>
              <w:rPr>
                <w:rFonts w:hint="eastAsia" w:ascii="宋体" w:hAnsi="宋体"/>
                <w:szCs w:val="21"/>
                <w:highlight w:val="yellow"/>
              </w:rPr>
            </w:pPr>
          </w:p>
        </w:tc>
      </w:tr>
      <w:tr w14:paraId="46001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09BD5F9B">
            <w:pPr>
              <w:jc w:val="center"/>
              <w:rPr>
                <w:rFonts w:hint="eastAsia" w:ascii="宋体" w:hAnsi="宋体"/>
                <w:szCs w:val="21"/>
                <w:highlight w:val="none"/>
              </w:rPr>
            </w:pPr>
            <w:r>
              <w:rPr>
                <w:rFonts w:hint="eastAsia" w:ascii="宋体" w:hAnsi="宋体"/>
                <w:szCs w:val="21"/>
                <w:highlight w:val="none"/>
              </w:rPr>
              <w:t>18</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67F9A289">
            <w:pPr>
              <w:widowControl/>
              <w:jc w:val="center"/>
              <w:rPr>
                <w:rFonts w:hint="eastAsia" w:ascii="仿宋" w:hAnsi="仿宋" w:eastAsia="仿宋" w:cs="仿宋"/>
                <w:sz w:val="24"/>
                <w:highlight w:val="none"/>
              </w:rPr>
            </w:pPr>
            <w:r>
              <w:rPr>
                <w:rFonts w:ascii="仿宋" w:hAnsi="仿宋" w:eastAsia="仿宋" w:cs="仿宋"/>
                <w:sz w:val="24"/>
                <w:highlight w:val="none"/>
                <w:lang w:bidi="ar"/>
              </w:rPr>
              <w:t>混凝土</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05F6F7DB">
            <w:pPr>
              <w:widowControl/>
              <w:jc w:val="center"/>
              <w:rPr>
                <w:rFonts w:hint="eastAsia" w:ascii="仿宋" w:hAnsi="仿宋" w:eastAsia="仿宋" w:cs="仿宋"/>
                <w:sz w:val="24"/>
                <w:highlight w:val="none"/>
              </w:rPr>
            </w:pPr>
            <w:r>
              <w:rPr>
                <w:rFonts w:ascii="仿宋" w:hAnsi="仿宋" w:eastAsia="仿宋" w:cs="仿宋"/>
                <w:sz w:val="24"/>
                <w:highlight w:val="none"/>
                <w:lang w:bidi="ar"/>
              </w:rPr>
              <w:t>万洋、鼎诚、天华或当地优质品牌</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14B4C739">
            <w:pPr>
              <w:jc w:val="center"/>
              <w:rPr>
                <w:rFonts w:hint="eastAsia" w:ascii="宋体" w:hAnsi="宋体"/>
                <w:szCs w:val="21"/>
                <w:highlight w:val="yellow"/>
              </w:rPr>
            </w:pPr>
          </w:p>
        </w:tc>
      </w:tr>
      <w:tr w14:paraId="68914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1FAFB1E4">
            <w:pPr>
              <w:jc w:val="center"/>
              <w:rPr>
                <w:rFonts w:hint="eastAsia" w:ascii="宋体" w:hAnsi="宋体"/>
                <w:szCs w:val="21"/>
                <w:highlight w:val="none"/>
              </w:rPr>
            </w:pPr>
            <w:r>
              <w:rPr>
                <w:rFonts w:hint="eastAsia" w:ascii="宋体" w:hAnsi="宋体"/>
                <w:szCs w:val="21"/>
                <w:highlight w:val="none"/>
              </w:rPr>
              <w:t>19</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0660EACB">
            <w:pPr>
              <w:widowControl/>
              <w:jc w:val="center"/>
              <w:rPr>
                <w:rFonts w:hint="eastAsia" w:ascii="仿宋" w:hAnsi="仿宋" w:eastAsia="仿宋" w:cs="仿宋"/>
                <w:sz w:val="24"/>
                <w:highlight w:val="none"/>
              </w:rPr>
            </w:pPr>
            <w:r>
              <w:rPr>
                <w:rFonts w:ascii="仿宋" w:hAnsi="仿宋" w:eastAsia="仿宋" w:cs="仿宋"/>
                <w:sz w:val="24"/>
                <w:highlight w:val="none"/>
                <w:lang w:bidi="ar"/>
              </w:rPr>
              <w:t>轻钢龙骨</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57C5E429">
            <w:pPr>
              <w:widowControl/>
              <w:jc w:val="center"/>
              <w:rPr>
                <w:rFonts w:hint="eastAsia" w:ascii="仿宋" w:hAnsi="仿宋" w:eastAsia="仿宋" w:cs="仿宋"/>
                <w:sz w:val="24"/>
                <w:highlight w:val="none"/>
              </w:rPr>
            </w:pPr>
            <w:r>
              <w:rPr>
                <w:rFonts w:ascii="仿宋" w:hAnsi="仿宋" w:eastAsia="仿宋" w:cs="仿宋"/>
                <w:sz w:val="24"/>
                <w:highlight w:val="none"/>
                <w:lang w:bidi="ar"/>
              </w:rPr>
              <w:t>龙牌、可耐福、杰科、优时吉博罗、泰山、阿姆斯壮（钉子：喜利得、百密得、实保威）</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14F28906">
            <w:pPr>
              <w:jc w:val="center"/>
              <w:rPr>
                <w:rFonts w:hint="eastAsia" w:ascii="宋体" w:hAnsi="宋体"/>
                <w:szCs w:val="21"/>
                <w:highlight w:val="yellow"/>
              </w:rPr>
            </w:pPr>
          </w:p>
        </w:tc>
      </w:tr>
      <w:tr w14:paraId="60084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66089869">
            <w:pPr>
              <w:jc w:val="center"/>
              <w:rPr>
                <w:rFonts w:hint="eastAsia" w:ascii="宋体" w:hAnsi="宋体"/>
                <w:szCs w:val="21"/>
                <w:highlight w:val="none"/>
              </w:rPr>
            </w:pPr>
            <w:r>
              <w:rPr>
                <w:rFonts w:hint="eastAsia" w:ascii="宋体" w:hAnsi="宋体"/>
                <w:szCs w:val="21"/>
                <w:highlight w:val="none"/>
              </w:rPr>
              <w:t>20</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0F7ACAA8">
            <w:pPr>
              <w:widowControl/>
              <w:jc w:val="center"/>
              <w:rPr>
                <w:rFonts w:hint="eastAsia" w:ascii="仿宋" w:hAnsi="仿宋" w:eastAsia="仿宋" w:cs="仿宋"/>
                <w:sz w:val="24"/>
                <w:highlight w:val="none"/>
              </w:rPr>
            </w:pPr>
            <w:r>
              <w:rPr>
                <w:rFonts w:ascii="仿宋" w:hAnsi="仿宋" w:eastAsia="仿宋" w:cs="仿宋"/>
                <w:sz w:val="24"/>
                <w:highlight w:val="none"/>
                <w:lang w:bidi="ar"/>
              </w:rPr>
              <w:t>成品铝扣板吊顶</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458B8CDA">
            <w:pPr>
              <w:widowControl/>
              <w:jc w:val="center"/>
              <w:rPr>
                <w:rFonts w:hint="eastAsia" w:ascii="仿宋" w:hAnsi="仿宋" w:eastAsia="仿宋" w:cs="仿宋"/>
                <w:sz w:val="24"/>
                <w:highlight w:val="none"/>
              </w:rPr>
            </w:pPr>
            <w:r>
              <w:rPr>
                <w:rFonts w:ascii="仿宋" w:hAnsi="仿宋" w:eastAsia="仿宋" w:cs="仿宋"/>
                <w:sz w:val="24"/>
                <w:highlight w:val="none"/>
                <w:lang w:bidi="ar"/>
              </w:rPr>
              <w:t>友邦、顶上、欧陆、奥普、法师龙、乐思龙、阿姆斯壮</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2F4CE014">
            <w:pPr>
              <w:jc w:val="center"/>
              <w:rPr>
                <w:rFonts w:hint="eastAsia" w:ascii="宋体" w:hAnsi="宋体"/>
                <w:szCs w:val="21"/>
                <w:highlight w:val="yellow"/>
              </w:rPr>
            </w:pPr>
          </w:p>
        </w:tc>
      </w:tr>
      <w:tr w14:paraId="741E2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674F3DB9">
            <w:pPr>
              <w:jc w:val="center"/>
              <w:rPr>
                <w:rFonts w:hint="eastAsia" w:ascii="宋体" w:hAnsi="宋体"/>
                <w:szCs w:val="21"/>
                <w:highlight w:val="none"/>
              </w:rPr>
            </w:pPr>
            <w:r>
              <w:rPr>
                <w:rFonts w:hint="eastAsia" w:ascii="宋体" w:hAnsi="宋体"/>
                <w:szCs w:val="21"/>
                <w:highlight w:val="none"/>
              </w:rPr>
              <w:t>21</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49081FBF">
            <w:pPr>
              <w:widowControl/>
              <w:jc w:val="center"/>
              <w:rPr>
                <w:rFonts w:hint="eastAsia" w:ascii="仿宋" w:hAnsi="仿宋" w:eastAsia="仿宋" w:cs="仿宋"/>
                <w:sz w:val="24"/>
                <w:highlight w:val="none"/>
              </w:rPr>
            </w:pPr>
            <w:r>
              <w:rPr>
                <w:rFonts w:ascii="仿宋" w:hAnsi="仿宋" w:eastAsia="仿宋" w:cs="仿宋"/>
                <w:sz w:val="24"/>
                <w:highlight w:val="none"/>
                <w:lang w:bidi="ar"/>
              </w:rPr>
              <w:t>石膏板</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48F07351">
            <w:pPr>
              <w:widowControl/>
              <w:jc w:val="center"/>
              <w:rPr>
                <w:rFonts w:hint="eastAsia" w:ascii="仿宋" w:hAnsi="仿宋" w:eastAsia="仿宋" w:cs="仿宋"/>
                <w:sz w:val="24"/>
                <w:highlight w:val="none"/>
              </w:rPr>
            </w:pPr>
            <w:r>
              <w:rPr>
                <w:rFonts w:ascii="仿宋" w:hAnsi="仿宋" w:eastAsia="仿宋" w:cs="仿宋"/>
                <w:sz w:val="24"/>
                <w:highlight w:val="none"/>
                <w:lang w:bidi="ar"/>
              </w:rPr>
              <w:t>龙牌、可耐福、杰科、优时吉博罗、泰山、阿姆斯壮</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0581D5C7">
            <w:pPr>
              <w:jc w:val="center"/>
              <w:rPr>
                <w:rFonts w:hint="eastAsia" w:ascii="宋体" w:hAnsi="宋体"/>
                <w:szCs w:val="21"/>
                <w:highlight w:val="yellow"/>
              </w:rPr>
            </w:pPr>
          </w:p>
        </w:tc>
      </w:tr>
      <w:tr w14:paraId="3716A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0D058CCD">
            <w:pPr>
              <w:jc w:val="center"/>
              <w:rPr>
                <w:rFonts w:hint="eastAsia" w:ascii="宋体" w:hAnsi="宋体"/>
                <w:szCs w:val="21"/>
                <w:highlight w:val="none"/>
              </w:rPr>
            </w:pPr>
            <w:r>
              <w:rPr>
                <w:rFonts w:hint="eastAsia" w:ascii="宋体" w:hAnsi="宋体"/>
                <w:szCs w:val="21"/>
                <w:highlight w:val="none"/>
              </w:rPr>
              <w:t>22</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25F46304">
            <w:pPr>
              <w:widowControl/>
              <w:jc w:val="center"/>
              <w:rPr>
                <w:rFonts w:hint="eastAsia" w:ascii="仿宋" w:hAnsi="仿宋" w:eastAsia="仿宋" w:cs="仿宋"/>
                <w:sz w:val="24"/>
                <w:highlight w:val="none"/>
              </w:rPr>
            </w:pPr>
            <w:r>
              <w:rPr>
                <w:rFonts w:ascii="仿宋" w:hAnsi="仿宋" w:eastAsia="仿宋" w:cs="仿宋"/>
                <w:sz w:val="24"/>
                <w:highlight w:val="none"/>
                <w:lang w:bidi="ar"/>
              </w:rPr>
              <w:t>岩棉金属板吊顶</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25FFDA66">
            <w:pPr>
              <w:widowControl/>
              <w:jc w:val="center"/>
              <w:rPr>
                <w:rFonts w:hint="eastAsia" w:ascii="仿宋" w:hAnsi="仿宋" w:eastAsia="仿宋" w:cs="仿宋"/>
                <w:sz w:val="24"/>
                <w:highlight w:val="none"/>
              </w:rPr>
            </w:pPr>
            <w:r>
              <w:rPr>
                <w:rFonts w:ascii="仿宋" w:hAnsi="仿宋" w:eastAsia="仿宋" w:cs="仿宋"/>
                <w:sz w:val="24"/>
                <w:highlight w:val="none"/>
                <w:lang w:bidi="ar"/>
              </w:rPr>
              <w:t>协多利、江南、永盛、临翔、源拓、轩格、阿姆斯壮</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7F210827">
            <w:pPr>
              <w:jc w:val="center"/>
              <w:rPr>
                <w:rFonts w:hint="eastAsia" w:ascii="宋体" w:hAnsi="宋体"/>
                <w:szCs w:val="21"/>
                <w:highlight w:val="yellow"/>
              </w:rPr>
            </w:pPr>
          </w:p>
        </w:tc>
      </w:tr>
      <w:tr w14:paraId="4D78B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3A478538">
            <w:pPr>
              <w:jc w:val="center"/>
              <w:rPr>
                <w:rFonts w:hint="eastAsia" w:ascii="宋体" w:hAnsi="宋体"/>
                <w:szCs w:val="21"/>
                <w:highlight w:val="none"/>
              </w:rPr>
            </w:pPr>
            <w:r>
              <w:rPr>
                <w:rFonts w:hint="eastAsia" w:ascii="宋体" w:hAnsi="宋体"/>
                <w:szCs w:val="21"/>
                <w:highlight w:val="none"/>
              </w:rPr>
              <w:t>23</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429F07F3">
            <w:pPr>
              <w:widowControl/>
              <w:jc w:val="center"/>
              <w:rPr>
                <w:rFonts w:hint="eastAsia" w:ascii="仿宋" w:hAnsi="仿宋" w:eastAsia="仿宋" w:cs="仿宋"/>
                <w:sz w:val="24"/>
                <w:highlight w:val="none"/>
              </w:rPr>
            </w:pPr>
            <w:r>
              <w:rPr>
                <w:rFonts w:ascii="仿宋" w:hAnsi="仿宋" w:eastAsia="仿宋" w:cs="仿宋"/>
                <w:sz w:val="24"/>
                <w:highlight w:val="none"/>
                <w:lang w:bidi="ar"/>
              </w:rPr>
              <w:t>成品竹纤维长条吊顶（木塑工艺墙板）</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6CEC8108">
            <w:pPr>
              <w:widowControl/>
              <w:jc w:val="center"/>
              <w:rPr>
                <w:rFonts w:hint="eastAsia" w:ascii="仿宋" w:hAnsi="仿宋" w:eastAsia="仿宋" w:cs="仿宋"/>
                <w:sz w:val="24"/>
                <w:highlight w:val="none"/>
              </w:rPr>
            </w:pPr>
            <w:r>
              <w:rPr>
                <w:rFonts w:ascii="仿宋" w:hAnsi="仿宋" w:eastAsia="仿宋" w:cs="仿宋"/>
                <w:sz w:val="24"/>
                <w:highlight w:val="none"/>
                <w:lang w:bidi="ar"/>
              </w:rPr>
              <w:t>指定质量产品</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5CDAE448">
            <w:pPr>
              <w:jc w:val="center"/>
              <w:rPr>
                <w:rFonts w:hint="eastAsia" w:ascii="宋体" w:hAnsi="宋体"/>
                <w:szCs w:val="21"/>
                <w:highlight w:val="yellow"/>
              </w:rPr>
            </w:pPr>
          </w:p>
        </w:tc>
      </w:tr>
      <w:tr w14:paraId="0EA36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5C5C58A5">
            <w:pPr>
              <w:jc w:val="center"/>
              <w:rPr>
                <w:rFonts w:hint="eastAsia" w:ascii="宋体" w:hAnsi="宋体"/>
                <w:szCs w:val="21"/>
                <w:highlight w:val="none"/>
              </w:rPr>
            </w:pPr>
            <w:r>
              <w:rPr>
                <w:rFonts w:hint="eastAsia" w:ascii="宋体" w:hAnsi="宋体"/>
                <w:szCs w:val="21"/>
                <w:highlight w:val="none"/>
              </w:rPr>
              <w:t>24</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516B9844">
            <w:pPr>
              <w:widowControl/>
              <w:jc w:val="center"/>
              <w:rPr>
                <w:rFonts w:hint="eastAsia" w:ascii="仿宋" w:hAnsi="仿宋" w:eastAsia="仿宋" w:cs="仿宋"/>
                <w:sz w:val="24"/>
                <w:highlight w:val="none"/>
              </w:rPr>
            </w:pPr>
            <w:r>
              <w:rPr>
                <w:rFonts w:ascii="仿宋" w:hAnsi="仿宋" w:eastAsia="仿宋" w:cs="仿宋"/>
                <w:sz w:val="24"/>
                <w:highlight w:val="none"/>
                <w:lang w:bidi="ar"/>
              </w:rPr>
              <w:t>木工板等木作板材</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29F82781">
            <w:pPr>
              <w:widowControl/>
              <w:jc w:val="center"/>
              <w:rPr>
                <w:rFonts w:hint="eastAsia" w:ascii="仿宋" w:hAnsi="仿宋" w:eastAsia="仿宋" w:cs="仿宋"/>
                <w:sz w:val="24"/>
                <w:highlight w:val="none"/>
              </w:rPr>
            </w:pPr>
            <w:r>
              <w:rPr>
                <w:rFonts w:ascii="仿宋" w:hAnsi="仿宋" w:eastAsia="仿宋" w:cs="仿宋"/>
                <w:sz w:val="24"/>
                <w:highlight w:val="none"/>
                <w:lang w:bidi="ar"/>
              </w:rPr>
              <w:t>兔宝宝、莫干山、大王椰、千年舟</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6F73EF51">
            <w:pPr>
              <w:jc w:val="center"/>
              <w:rPr>
                <w:rFonts w:hint="eastAsia" w:ascii="宋体" w:hAnsi="宋体"/>
                <w:szCs w:val="21"/>
                <w:highlight w:val="yellow"/>
              </w:rPr>
            </w:pPr>
          </w:p>
        </w:tc>
      </w:tr>
      <w:tr w14:paraId="1E0FE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1EF499FB">
            <w:pPr>
              <w:jc w:val="center"/>
              <w:rPr>
                <w:rFonts w:hint="eastAsia" w:ascii="宋体" w:hAnsi="宋体"/>
                <w:szCs w:val="21"/>
                <w:highlight w:val="none"/>
              </w:rPr>
            </w:pPr>
            <w:r>
              <w:rPr>
                <w:rFonts w:hint="eastAsia" w:ascii="宋体" w:hAnsi="宋体"/>
                <w:szCs w:val="21"/>
                <w:highlight w:val="none"/>
              </w:rPr>
              <w:t>25</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5207CE21">
            <w:pPr>
              <w:widowControl/>
              <w:jc w:val="center"/>
              <w:rPr>
                <w:rFonts w:hint="eastAsia" w:ascii="仿宋" w:hAnsi="仿宋" w:eastAsia="仿宋" w:cs="仿宋"/>
                <w:sz w:val="24"/>
                <w:highlight w:val="none"/>
              </w:rPr>
            </w:pPr>
            <w:r>
              <w:rPr>
                <w:rFonts w:ascii="仿宋" w:hAnsi="仿宋" w:eastAsia="仿宋" w:cs="仿宋"/>
                <w:sz w:val="24"/>
                <w:highlight w:val="none"/>
                <w:lang w:bidi="ar"/>
              </w:rPr>
              <w:t>铝塑板</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346E2427">
            <w:pPr>
              <w:widowControl/>
              <w:jc w:val="center"/>
              <w:rPr>
                <w:rFonts w:hint="eastAsia" w:ascii="仿宋" w:hAnsi="仿宋" w:eastAsia="仿宋" w:cs="仿宋"/>
                <w:sz w:val="24"/>
                <w:highlight w:val="none"/>
              </w:rPr>
            </w:pPr>
            <w:r>
              <w:rPr>
                <w:rFonts w:ascii="仿宋" w:hAnsi="仿宋" w:eastAsia="仿宋" w:cs="仿宋"/>
                <w:sz w:val="24"/>
                <w:highlight w:val="none"/>
                <w:lang w:bidi="ar"/>
              </w:rPr>
              <w:t>吉祥、七色、华尔泰、雅丽泰</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52B701AB">
            <w:pPr>
              <w:jc w:val="center"/>
              <w:rPr>
                <w:rFonts w:hint="eastAsia" w:ascii="宋体" w:hAnsi="宋体"/>
                <w:szCs w:val="21"/>
                <w:highlight w:val="yellow"/>
              </w:rPr>
            </w:pPr>
          </w:p>
        </w:tc>
      </w:tr>
      <w:tr w14:paraId="384F8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4C08A83C">
            <w:pPr>
              <w:jc w:val="center"/>
              <w:rPr>
                <w:rFonts w:hint="eastAsia" w:ascii="宋体" w:hAnsi="宋体"/>
                <w:szCs w:val="21"/>
                <w:highlight w:val="none"/>
              </w:rPr>
            </w:pPr>
            <w:r>
              <w:rPr>
                <w:rFonts w:hint="eastAsia" w:ascii="宋体" w:hAnsi="宋体"/>
                <w:szCs w:val="21"/>
                <w:highlight w:val="none"/>
              </w:rPr>
              <w:t>26</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5CFACF8C">
            <w:pPr>
              <w:widowControl/>
              <w:jc w:val="center"/>
              <w:rPr>
                <w:rFonts w:hint="eastAsia" w:ascii="仿宋" w:hAnsi="仿宋" w:eastAsia="仿宋" w:cs="仿宋"/>
                <w:sz w:val="24"/>
                <w:highlight w:val="none"/>
              </w:rPr>
            </w:pPr>
            <w:r>
              <w:rPr>
                <w:rFonts w:ascii="仿宋" w:hAnsi="仿宋" w:eastAsia="仿宋" w:cs="仿宋"/>
                <w:sz w:val="24"/>
                <w:highlight w:val="none"/>
                <w:lang w:bidi="ar"/>
              </w:rPr>
              <w:t>密封胶</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606CE8DC">
            <w:pPr>
              <w:widowControl/>
              <w:jc w:val="center"/>
              <w:rPr>
                <w:rFonts w:hint="eastAsia" w:ascii="仿宋" w:hAnsi="仿宋" w:eastAsia="仿宋" w:cs="仿宋"/>
                <w:sz w:val="24"/>
                <w:highlight w:val="none"/>
              </w:rPr>
            </w:pPr>
            <w:r>
              <w:rPr>
                <w:rFonts w:ascii="仿宋" w:hAnsi="仿宋" w:eastAsia="仿宋" w:cs="仿宋"/>
                <w:sz w:val="24"/>
                <w:highlight w:val="none"/>
                <w:lang w:bidi="ar"/>
              </w:rPr>
              <w:t>道康宁、硅宝、西卡、百得、使你佳、白云、金鼠、思蓝德</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5C2F0964">
            <w:pPr>
              <w:jc w:val="center"/>
              <w:rPr>
                <w:rFonts w:hint="eastAsia" w:ascii="宋体" w:hAnsi="宋体"/>
                <w:szCs w:val="21"/>
                <w:highlight w:val="yellow"/>
              </w:rPr>
            </w:pPr>
          </w:p>
        </w:tc>
      </w:tr>
      <w:tr w14:paraId="27004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69910684">
            <w:pPr>
              <w:jc w:val="center"/>
              <w:rPr>
                <w:rFonts w:hint="eastAsia" w:ascii="宋体" w:hAnsi="宋体"/>
                <w:szCs w:val="21"/>
                <w:highlight w:val="none"/>
              </w:rPr>
            </w:pPr>
            <w:r>
              <w:rPr>
                <w:rFonts w:hint="eastAsia" w:ascii="宋体" w:hAnsi="宋体"/>
                <w:szCs w:val="21"/>
                <w:highlight w:val="none"/>
              </w:rPr>
              <w:t>27</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7B3BE66F">
            <w:pPr>
              <w:widowControl/>
              <w:jc w:val="center"/>
              <w:rPr>
                <w:rFonts w:hint="eastAsia" w:ascii="仿宋" w:hAnsi="仿宋" w:eastAsia="仿宋" w:cs="仿宋"/>
                <w:sz w:val="24"/>
                <w:highlight w:val="none"/>
              </w:rPr>
            </w:pPr>
            <w:r>
              <w:rPr>
                <w:rFonts w:ascii="仿宋" w:hAnsi="仿宋" w:eastAsia="仿宋" w:cs="仿宋"/>
                <w:sz w:val="24"/>
                <w:highlight w:val="none"/>
                <w:lang w:bidi="ar"/>
              </w:rPr>
              <w:t>成品玻璃隔断</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53817BC3">
            <w:pPr>
              <w:widowControl/>
              <w:jc w:val="center"/>
              <w:rPr>
                <w:rFonts w:hint="eastAsia" w:ascii="仿宋" w:hAnsi="仿宋" w:eastAsia="仿宋" w:cs="仿宋"/>
                <w:sz w:val="24"/>
                <w:highlight w:val="none"/>
              </w:rPr>
            </w:pPr>
            <w:r>
              <w:rPr>
                <w:rFonts w:ascii="仿宋" w:hAnsi="仿宋" w:eastAsia="仿宋" w:cs="仿宋"/>
                <w:sz w:val="24"/>
                <w:highlight w:val="none"/>
                <w:lang w:bidi="ar"/>
              </w:rPr>
              <w:t>指定质量产品</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196F5935">
            <w:pPr>
              <w:jc w:val="center"/>
              <w:rPr>
                <w:rFonts w:hint="eastAsia" w:ascii="宋体" w:hAnsi="宋体"/>
                <w:szCs w:val="21"/>
                <w:highlight w:val="yellow"/>
              </w:rPr>
            </w:pPr>
          </w:p>
        </w:tc>
      </w:tr>
      <w:tr w14:paraId="3E9F1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12E6969C">
            <w:pPr>
              <w:jc w:val="center"/>
              <w:rPr>
                <w:rFonts w:hint="eastAsia" w:ascii="宋体" w:hAnsi="宋体"/>
                <w:szCs w:val="21"/>
                <w:highlight w:val="none"/>
              </w:rPr>
            </w:pPr>
            <w:r>
              <w:rPr>
                <w:rFonts w:hint="eastAsia" w:ascii="宋体" w:hAnsi="宋体"/>
                <w:szCs w:val="21"/>
                <w:highlight w:val="none"/>
              </w:rPr>
              <w:t>28</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3DA446DB">
            <w:pPr>
              <w:widowControl/>
              <w:jc w:val="center"/>
              <w:rPr>
                <w:rFonts w:hint="eastAsia" w:ascii="仿宋" w:hAnsi="仿宋" w:eastAsia="仿宋" w:cs="仿宋"/>
                <w:sz w:val="24"/>
                <w:highlight w:val="none"/>
              </w:rPr>
            </w:pPr>
            <w:r>
              <w:rPr>
                <w:rFonts w:ascii="仿宋" w:hAnsi="仿宋" w:eastAsia="仿宋" w:cs="仿宋"/>
                <w:sz w:val="24"/>
                <w:highlight w:val="none"/>
                <w:lang w:bidi="ar"/>
              </w:rPr>
              <w:t>腻子</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46F67F1A">
            <w:pPr>
              <w:widowControl/>
              <w:jc w:val="center"/>
              <w:rPr>
                <w:rFonts w:hint="eastAsia" w:ascii="仿宋" w:hAnsi="仿宋" w:eastAsia="仿宋" w:cs="仿宋"/>
                <w:sz w:val="24"/>
                <w:highlight w:val="none"/>
              </w:rPr>
            </w:pPr>
            <w:r>
              <w:rPr>
                <w:rFonts w:ascii="仿宋" w:hAnsi="仿宋" w:eastAsia="仿宋" w:cs="仿宋"/>
                <w:sz w:val="24"/>
                <w:highlight w:val="none"/>
                <w:lang w:bidi="ar"/>
              </w:rPr>
              <w:t>美巢、百得、立邦、德高、韦伯</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2A49B655">
            <w:pPr>
              <w:jc w:val="center"/>
              <w:rPr>
                <w:rFonts w:hint="eastAsia" w:ascii="宋体" w:hAnsi="宋体"/>
                <w:szCs w:val="21"/>
                <w:highlight w:val="yellow"/>
              </w:rPr>
            </w:pPr>
          </w:p>
        </w:tc>
      </w:tr>
      <w:tr w14:paraId="0E706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1573AF49">
            <w:pPr>
              <w:jc w:val="center"/>
              <w:rPr>
                <w:rFonts w:hint="eastAsia" w:ascii="宋体" w:hAnsi="宋体"/>
                <w:szCs w:val="21"/>
                <w:highlight w:val="none"/>
              </w:rPr>
            </w:pPr>
            <w:r>
              <w:rPr>
                <w:rFonts w:hint="eastAsia" w:ascii="宋体" w:hAnsi="宋体"/>
                <w:szCs w:val="21"/>
                <w:highlight w:val="none"/>
              </w:rPr>
              <w:t>29</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1F47B762">
            <w:pPr>
              <w:widowControl/>
              <w:jc w:val="center"/>
              <w:rPr>
                <w:rFonts w:hint="eastAsia" w:ascii="仿宋" w:hAnsi="仿宋" w:eastAsia="仿宋" w:cs="仿宋"/>
                <w:sz w:val="24"/>
                <w:highlight w:val="none"/>
              </w:rPr>
            </w:pPr>
            <w:r>
              <w:rPr>
                <w:rFonts w:ascii="仿宋" w:hAnsi="仿宋" w:eastAsia="仿宋" w:cs="仿宋"/>
                <w:sz w:val="24"/>
                <w:highlight w:val="none"/>
                <w:lang w:bidi="ar"/>
              </w:rPr>
              <w:t>墙纸、墙布</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2B1BB09E">
            <w:pPr>
              <w:widowControl/>
              <w:jc w:val="center"/>
              <w:rPr>
                <w:rFonts w:hint="eastAsia" w:ascii="仿宋" w:hAnsi="仿宋" w:eastAsia="仿宋" w:cs="仿宋"/>
                <w:sz w:val="24"/>
                <w:highlight w:val="none"/>
              </w:rPr>
            </w:pPr>
            <w:r>
              <w:rPr>
                <w:rFonts w:ascii="仿宋" w:hAnsi="仿宋" w:eastAsia="仿宋" w:cs="仿宋"/>
                <w:sz w:val="24"/>
                <w:highlight w:val="none"/>
                <w:lang w:bidi="ar"/>
              </w:rPr>
              <w:t>菲索尔、龙翔、玉兰、柔然、欧雅、瑞宝、布鲁斯特</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5E0D089E">
            <w:pPr>
              <w:jc w:val="center"/>
              <w:rPr>
                <w:rFonts w:hint="eastAsia" w:ascii="宋体" w:hAnsi="宋体"/>
                <w:szCs w:val="21"/>
                <w:highlight w:val="yellow"/>
              </w:rPr>
            </w:pPr>
          </w:p>
        </w:tc>
      </w:tr>
      <w:tr w14:paraId="73C41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5B549A3E">
            <w:pPr>
              <w:jc w:val="center"/>
              <w:rPr>
                <w:rFonts w:hint="eastAsia" w:ascii="宋体" w:hAnsi="宋体"/>
                <w:szCs w:val="21"/>
                <w:highlight w:val="none"/>
              </w:rPr>
            </w:pPr>
            <w:r>
              <w:rPr>
                <w:rFonts w:hint="eastAsia" w:ascii="宋体" w:hAnsi="宋体"/>
                <w:szCs w:val="21"/>
                <w:highlight w:val="none"/>
              </w:rPr>
              <w:t>30</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24AA3412">
            <w:pPr>
              <w:widowControl/>
              <w:jc w:val="center"/>
              <w:rPr>
                <w:rFonts w:hint="eastAsia" w:ascii="仿宋" w:hAnsi="仿宋" w:eastAsia="仿宋" w:cs="仿宋"/>
                <w:sz w:val="24"/>
                <w:highlight w:val="none"/>
              </w:rPr>
            </w:pPr>
            <w:r>
              <w:rPr>
                <w:rFonts w:ascii="仿宋" w:hAnsi="仿宋" w:eastAsia="仿宋" w:cs="仿宋"/>
                <w:sz w:val="24"/>
                <w:highlight w:val="none"/>
                <w:lang w:bidi="ar"/>
              </w:rPr>
              <w:t>PVC板（防静电）卷材全耐磨</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627EB52A">
            <w:pPr>
              <w:widowControl/>
              <w:jc w:val="center"/>
              <w:rPr>
                <w:rFonts w:hint="eastAsia" w:ascii="仿宋" w:hAnsi="仿宋" w:eastAsia="仿宋" w:cs="仿宋"/>
                <w:sz w:val="24"/>
                <w:highlight w:val="none"/>
              </w:rPr>
            </w:pPr>
            <w:r>
              <w:rPr>
                <w:rFonts w:ascii="仿宋" w:hAnsi="仿宋" w:eastAsia="仿宋" w:cs="仿宋"/>
                <w:sz w:val="24"/>
                <w:highlight w:val="none"/>
                <w:lang w:bidi="ar"/>
              </w:rPr>
              <w:t>法国得嘉、三井、LG</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16290DB6">
            <w:pPr>
              <w:jc w:val="center"/>
              <w:rPr>
                <w:rFonts w:hint="eastAsia" w:ascii="宋体" w:hAnsi="宋体"/>
                <w:szCs w:val="21"/>
                <w:highlight w:val="yellow"/>
              </w:rPr>
            </w:pPr>
          </w:p>
        </w:tc>
      </w:tr>
      <w:tr w14:paraId="41D1B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0EFFDFB0">
            <w:pPr>
              <w:jc w:val="center"/>
              <w:rPr>
                <w:rFonts w:hint="eastAsia" w:ascii="宋体" w:hAnsi="宋体"/>
                <w:szCs w:val="21"/>
                <w:highlight w:val="none"/>
              </w:rPr>
            </w:pPr>
            <w:r>
              <w:rPr>
                <w:rFonts w:hint="eastAsia" w:ascii="宋体" w:hAnsi="宋体"/>
                <w:szCs w:val="21"/>
                <w:highlight w:val="none"/>
              </w:rPr>
              <w:t>31</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0147A791">
            <w:pPr>
              <w:widowControl/>
              <w:jc w:val="center"/>
              <w:rPr>
                <w:rFonts w:hint="eastAsia" w:ascii="仿宋" w:hAnsi="仿宋" w:eastAsia="仿宋" w:cs="仿宋"/>
                <w:sz w:val="24"/>
                <w:highlight w:val="none"/>
              </w:rPr>
            </w:pPr>
            <w:r>
              <w:rPr>
                <w:rFonts w:ascii="仿宋" w:hAnsi="仿宋" w:eastAsia="仿宋" w:cs="仿宋"/>
                <w:sz w:val="24"/>
                <w:highlight w:val="none"/>
                <w:lang w:bidi="ar"/>
              </w:rPr>
              <w:t>卫生间隔断</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31049A2E">
            <w:pPr>
              <w:widowControl/>
              <w:jc w:val="center"/>
              <w:rPr>
                <w:rFonts w:hint="eastAsia" w:ascii="仿宋" w:hAnsi="仿宋" w:eastAsia="仿宋" w:cs="仿宋"/>
                <w:sz w:val="24"/>
                <w:highlight w:val="none"/>
              </w:rPr>
            </w:pPr>
            <w:r>
              <w:rPr>
                <w:rFonts w:ascii="仿宋" w:hAnsi="仿宋" w:eastAsia="仿宋" w:cs="仿宋"/>
                <w:sz w:val="24"/>
                <w:highlight w:val="none"/>
                <w:lang w:bidi="ar"/>
              </w:rPr>
              <w:t>指定质量产品</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25989D52">
            <w:pPr>
              <w:jc w:val="center"/>
              <w:rPr>
                <w:rFonts w:hint="eastAsia" w:ascii="宋体" w:hAnsi="宋体"/>
                <w:szCs w:val="21"/>
                <w:highlight w:val="yellow"/>
              </w:rPr>
            </w:pPr>
          </w:p>
        </w:tc>
      </w:tr>
      <w:tr w14:paraId="1B704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4E69D24A">
            <w:pPr>
              <w:jc w:val="center"/>
              <w:rPr>
                <w:rFonts w:hint="eastAsia" w:ascii="宋体" w:hAnsi="宋体"/>
                <w:szCs w:val="21"/>
                <w:highlight w:val="none"/>
              </w:rPr>
            </w:pPr>
            <w:r>
              <w:rPr>
                <w:rFonts w:hint="eastAsia" w:ascii="宋体" w:hAnsi="宋体"/>
                <w:szCs w:val="21"/>
                <w:highlight w:val="none"/>
              </w:rPr>
              <w:t>32</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7E6E499B">
            <w:pPr>
              <w:widowControl/>
              <w:jc w:val="center"/>
              <w:rPr>
                <w:rFonts w:hint="eastAsia" w:ascii="仿宋" w:hAnsi="仿宋" w:eastAsia="仿宋" w:cs="仿宋"/>
                <w:sz w:val="24"/>
                <w:highlight w:val="none"/>
              </w:rPr>
            </w:pPr>
            <w:r>
              <w:rPr>
                <w:rFonts w:ascii="仿宋" w:hAnsi="仿宋" w:eastAsia="仿宋" w:cs="仿宋"/>
                <w:sz w:val="24"/>
                <w:highlight w:val="none"/>
                <w:lang w:bidi="ar"/>
              </w:rPr>
              <w:t>防静电地板</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102B0C2C">
            <w:pPr>
              <w:widowControl/>
              <w:jc w:val="center"/>
              <w:rPr>
                <w:rFonts w:hint="eastAsia" w:ascii="仿宋" w:hAnsi="仿宋" w:eastAsia="仿宋" w:cs="仿宋"/>
                <w:sz w:val="24"/>
                <w:highlight w:val="none"/>
              </w:rPr>
            </w:pPr>
            <w:r>
              <w:rPr>
                <w:rFonts w:ascii="仿宋" w:hAnsi="仿宋" w:eastAsia="仿宋" w:cs="仿宋"/>
                <w:sz w:val="24"/>
                <w:highlight w:val="none"/>
                <w:lang w:bidi="ar"/>
              </w:rPr>
              <w:t>沈飞、红日、汇丽、创星、向利、天开</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550D376F">
            <w:pPr>
              <w:jc w:val="center"/>
              <w:rPr>
                <w:rFonts w:hint="eastAsia" w:ascii="宋体" w:hAnsi="宋体"/>
                <w:szCs w:val="21"/>
                <w:highlight w:val="yellow"/>
              </w:rPr>
            </w:pPr>
          </w:p>
        </w:tc>
      </w:tr>
      <w:tr w14:paraId="17F4E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012AD51F">
            <w:pPr>
              <w:jc w:val="center"/>
              <w:rPr>
                <w:rFonts w:hint="eastAsia" w:ascii="宋体" w:hAnsi="宋体"/>
                <w:szCs w:val="21"/>
                <w:highlight w:val="none"/>
              </w:rPr>
            </w:pPr>
            <w:r>
              <w:rPr>
                <w:rFonts w:hint="eastAsia" w:ascii="宋体" w:hAnsi="宋体"/>
                <w:szCs w:val="21"/>
                <w:highlight w:val="none"/>
              </w:rPr>
              <w:t>33</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66BEF2F0">
            <w:pPr>
              <w:widowControl/>
              <w:jc w:val="center"/>
              <w:rPr>
                <w:rFonts w:hint="eastAsia" w:ascii="仿宋" w:hAnsi="仿宋" w:eastAsia="仿宋" w:cs="仿宋"/>
                <w:sz w:val="24"/>
                <w:highlight w:val="none"/>
              </w:rPr>
            </w:pPr>
            <w:r>
              <w:rPr>
                <w:rFonts w:ascii="仿宋" w:hAnsi="仿宋" w:eastAsia="仿宋" w:cs="仿宋"/>
                <w:sz w:val="24"/>
                <w:highlight w:val="none"/>
                <w:lang w:bidi="ar"/>
              </w:rPr>
              <w:t>竹地板</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06FA4548">
            <w:pPr>
              <w:widowControl/>
              <w:jc w:val="center"/>
              <w:rPr>
                <w:rFonts w:hint="eastAsia" w:ascii="仿宋" w:hAnsi="仿宋" w:eastAsia="仿宋" w:cs="仿宋"/>
                <w:sz w:val="24"/>
                <w:highlight w:val="none"/>
              </w:rPr>
            </w:pPr>
            <w:r>
              <w:rPr>
                <w:rFonts w:ascii="仿宋" w:hAnsi="仿宋" w:eastAsia="仿宋" w:cs="仿宋"/>
                <w:sz w:val="24"/>
                <w:highlight w:val="none"/>
                <w:lang w:bidi="ar"/>
              </w:rPr>
              <w:t>指定质量产品</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20FC07BC">
            <w:pPr>
              <w:jc w:val="center"/>
              <w:rPr>
                <w:rFonts w:hint="eastAsia" w:ascii="宋体" w:hAnsi="宋体"/>
                <w:szCs w:val="21"/>
                <w:highlight w:val="yellow"/>
              </w:rPr>
            </w:pPr>
          </w:p>
        </w:tc>
      </w:tr>
      <w:tr w14:paraId="6B972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6DE95844">
            <w:pPr>
              <w:jc w:val="center"/>
              <w:rPr>
                <w:rFonts w:hint="eastAsia" w:ascii="宋体" w:hAnsi="宋体"/>
                <w:szCs w:val="21"/>
                <w:highlight w:val="none"/>
              </w:rPr>
            </w:pPr>
            <w:r>
              <w:rPr>
                <w:rFonts w:hint="eastAsia" w:ascii="宋体" w:hAnsi="宋体"/>
                <w:szCs w:val="21"/>
                <w:highlight w:val="none"/>
              </w:rPr>
              <w:t>34</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5603D28F">
            <w:pPr>
              <w:widowControl/>
              <w:jc w:val="center"/>
              <w:rPr>
                <w:rFonts w:hint="eastAsia" w:ascii="仿宋" w:hAnsi="仿宋" w:eastAsia="仿宋" w:cs="仿宋"/>
                <w:sz w:val="24"/>
                <w:highlight w:val="none"/>
              </w:rPr>
            </w:pPr>
            <w:r>
              <w:rPr>
                <w:rFonts w:ascii="仿宋" w:hAnsi="仿宋" w:eastAsia="仿宋" w:cs="仿宋"/>
                <w:sz w:val="24"/>
                <w:highlight w:val="none"/>
                <w:lang w:bidi="ar"/>
              </w:rPr>
              <w:t>玻璃</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15E801AA">
            <w:pPr>
              <w:widowControl/>
              <w:jc w:val="center"/>
              <w:rPr>
                <w:rFonts w:hint="eastAsia" w:ascii="仿宋" w:hAnsi="仿宋" w:eastAsia="仿宋" w:cs="仿宋"/>
                <w:sz w:val="24"/>
                <w:highlight w:val="none"/>
              </w:rPr>
            </w:pPr>
            <w:r>
              <w:rPr>
                <w:rFonts w:ascii="仿宋" w:hAnsi="仿宋" w:eastAsia="仿宋" w:cs="仿宋"/>
                <w:sz w:val="24"/>
                <w:highlight w:val="none"/>
                <w:lang w:bidi="ar"/>
              </w:rPr>
              <w:t>南玻、北玻、耀玻、台玻</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614C8E52">
            <w:pPr>
              <w:jc w:val="center"/>
              <w:rPr>
                <w:rFonts w:hint="eastAsia" w:ascii="宋体" w:hAnsi="宋体"/>
                <w:szCs w:val="21"/>
                <w:highlight w:val="yellow"/>
              </w:rPr>
            </w:pPr>
          </w:p>
        </w:tc>
      </w:tr>
      <w:tr w14:paraId="6D133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5DF05F25">
            <w:pPr>
              <w:jc w:val="center"/>
              <w:rPr>
                <w:rFonts w:hint="eastAsia" w:ascii="宋体" w:hAnsi="宋体"/>
                <w:szCs w:val="21"/>
                <w:highlight w:val="none"/>
              </w:rPr>
            </w:pPr>
            <w:r>
              <w:rPr>
                <w:rFonts w:hint="eastAsia" w:ascii="宋体" w:hAnsi="宋体"/>
                <w:szCs w:val="21"/>
                <w:highlight w:val="none"/>
              </w:rPr>
              <w:t>35</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33AA7C78">
            <w:pPr>
              <w:widowControl/>
              <w:jc w:val="center"/>
              <w:rPr>
                <w:rFonts w:hint="eastAsia" w:ascii="仿宋" w:hAnsi="仿宋" w:eastAsia="仿宋" w:cs="仿宋"/>
                <w:sz w:val="24"/>
                <w:highlight w:val="none"/>
              </w:rPr>
            </w:pPr>
            <w:r>
              <w:rPr>
                <w:rFonts w:ascii="仿宋" w:hAnsi="仿宋" w:eastAsia="仿宋" w:cs="仿宋"/>
                <w:sz w:val="24"/>
                <w:highlight w:val="none"/>
                <w:lang w:bidi="ar"/>
              </w:rPr>
              <w:t>涂料、油漆</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7A68BFAB">
            <w:pPr>
              <w:widowControl/>
              <w:jc w:val="center"/>
              <w:rPr>
                <w:rFonts w:hint="eastAsia" w:ascii="仿宋" w:hAnsi="仿宋" w:eastAsia="仿宋" w:cs="仿宋"/>
                <w:sz w:val="24"/>
                <w:highlight w:val="none"/>
              </w:rPr>
            </w:pPr>
            <w:r>
              <w:rPr>
                <w:rFonts w:ascii="仿宋" w:hAnsi="仿宋" w:eastAsia="仿宋" w:cs="仿宋"/>
                <w:sz w:val="24"/>
                <w:highlight w:val="none"/>
                <w:lang w:bidi="ar"/>
              </w:rPr>
              <w:t>华润、立邦、多乐士、嘉宝莉、虎皇、三棵树、PPG</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071E6A16">
            <w:pPr>
              <w:jc w:val="center"/>
              <w:rPr>
                <w:rFonts w:hint="eastAsia" w:ascii="宋体" w:hAnsi="宋体"/>
                <w:szCs w:val="21"/>
                <w:highlight w:val="yellow"/>
              </w:rPr>
            </w:pPr>
          </w:p>
        </w:tc>
      </w:tr>
      <w:tr w14:paraId="0A46A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7B30BAFD">
            <w:pPr>
              <w:jc w:val="center"/>
              <w:rPr>
                <w:rFonts w:hint="eastAsia" w:ascii="宋体" w:hAnsi="宋体"/>
                <w:szCs w:val="21"/>
                <w:highlight w:val="none"/>
              </w:rPr>
            </w:pPr>
            <w:r>
              <w:rPr>
                <w:rFonts w:hint="eastAsia" w:ascii="宋体" w:hAnsi="宋体"/>
                <w:szCs w:val="21"/>
                <w:highlight w:val="none"/>
              </w:rPr>
              <w:t>36</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021AC3E9">
            <w:pPr>
              <w:widowControl/>
              <w:jc w:val="center"/>
              <w:rPr>
                <w:rFonts w:hint="eastAsia" w:ascii="仿宋" w:hAnsi="仿宋" w:eastAsia="仿宋" w:cs="仿宋"/>
                <w:sz w:val="24"/>
                <w:highlight w:val="none"/>
              </w:rPr>
            </w:pPr>
            <w:r>
              <w:rPr>
                <w:rFonts w:ascii="仿宋" w:hAnsi="仿宋" w:eastAsia="仿宋" w:cs="仿宋"/>
                <w:sz w:val="24"/>
                <w:highlight w:val="none"/>
                <w:lang w:bidi="ar"/>
              </w:rPr>
              <w:t>防火涂料</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2560A49C">
            <w:pPr>
              <w:widowControl/>
              <w:jc w:val="center"/>
              <w:rPr>
                <w:rFonts w:hint="eastAsia" w:ascii="仿宋" w:hAnsi="仿宋" w:eastAsia="仿宋" w:cs="仿宋"/>
                <w:sz w:val="24"/>
                <w:highlight w:val="none"/>
              </w:rPr>
            </w:pPr>
            <w:r>
              <w:rPr>
                <w:rFonts w:ascii="仿宋" w:hAnsi="仿宋" w:eastAsia="仿宋" w:cs="仿宋"/>
                <w:sz w:val="24"/>
                <w:highlight w:val="none"/>
                <w:lang w:bidi="ar"/>
              </w:rPr>
              <w:t>兰陵、澳贝、金隅、中南</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56A7E0AF">
            <w:pPr>
              <w:jc w:val="center"/>
              <w:rPr>
                <w:rFonts w:hint="eastAsia" w:ascii="宋体" w:hAnsi="宋体"/>
                <w:szCs w:val="21"/>
                <w:highlight w:val="yellow"/>
              </w:rPr>
            </w:pPr>
          </w:p>
        </w:tc>
      </w:tr>
      <w:tr w14:paraId="27E70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71B30558">
            <w:pPr>
              <w:jc w:val="center"/>
              <w:rPr>
                <w:rFonts w:hint="eastAsia" w:ascii="宋体" w:hAnsi="宋体"/>
                <w:szCs w:val="21"/>
                <w:highlight w:val="none"/>
              </w:rPr>
            </w:pPr>
            <w:r>
              <w:rPr>
                <w:rFonts w:hint="eastAsia" w:ascii="宋体" w:hAnsi="宋体"/>
                <w:szCs w:val="21"/>
                <w:highlight w:val="none"/>
              </w:rPr>
              <w:t>37</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1A2AD72B">
            <w:pPr>
              <w:widowControl/>
              <w:jc w:val="center"/>
              <w:rPr>
                <w:rFonts w:hint="eastAsia" w:ascii="仿宋" w:hAnsi="仿宋" w:eastAsia="仿宋" w:cs="仿宋"/>
                <w:sz w:val="24"/>
                <w:highlight w:val="none"/>
              </w:rPr>
            </w:pPr>
            <w:r>
              <w:rPr>
                <w:rFonts w:ascii="仿宋" w:hAnsi="仿宋" w:eastAsia="仿宋" w:cs="仿宋"/>
                <w:sz w:val="24"/>
                <w:highlight w:val="none"/>
                <w:lang w:bidi="ar"/>
              </w:rPr>
              <w:t>防水涂料</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03F17D46">
            <w:pPr>
              <w:widowControl/>
              <w:jc w:val="center"/>
              <w:rPr>
                <w:rFonts w:hint="eastAsia" w:ascii="仿宋" w:hAnsi="仿宋" w:eastAsia="仿宋" w:cs="仿宋"/>
                <w:sz w:val="24"/>
                <w:highlight w:val="none"/>
              </w:rPr>
            </w:pPr>
            <w:r>
              <w:rPr>
                <w:rFonts w:ascii="仿宋" w:hAnsi="仿宋" w:eastAsia="仿宋" w:cs="仿宋"/>
                <w:sz w:val="24"/>
                <w:highlight w:val="none"/>
                <w:lang w:bidi="ar"/>
              </w:rPr>
              <w:t>东方雨虹、汉高百得、韦伯</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7C86A1A9">
            <w:pPr>
              <w:jc w:val="center"/>
              <w:rPr>
                <w:rFonts w:hint="eastAsia" w:ascii="宋体" w:hAnsi="宋体"/>
                <w:szCs w:val="21"/>
                <w:highlight w:val="yellow"/>
              </w:rPr>
            </w:pPr>
          </w:p>
        </w:tc>
      </w:tr>
      <w:tr w14:paraId="48BC7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78EB3763">
            <w:pPr>
              <w:jc w:val="center"/>
              <w:rPr>
                <w:rFonts w:hint="eastAsia" w:ascii="宋体" w:hAnsi="宋体"/>
                <w:szCs w:val="21"/>
                <w:highlight w:val="none"/>
              </w:rPr>
            </w:pPr>
            <w:r>
              <w:rPr>
                <w:rFonts w:hint="eastAsia" w:ascii="宋体" w:hAnsi="宋体"/>
                <w:szCs w:val="21"/>
                <w:highlight w:val="none"/>
              </w:rPr>
              <w:t>38</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2D0D6FAE">
            <w:pPr>
              <w:widowControl/>
              <w:jc w:val="center"/>
              <w:rPr>
                <w:rFonts w:hint="eastAsia" w:ascii="仿宋" w:hAnsi="仿宋" w:eastAsia="仿宋" w:cs="仿宋"/>
                <w:sz w:val="24"/>
                <w:highlight w:val="none"/>
              </w:rPr>
            </w:pPr>
            <w:r>
              <w:rPr>
                <w:rFonts w:ascii="仿宋" w:hAnsi="仿宋" w:eastAsia="仿宋" w:cs="仿宋"/>
                <w:sz w:val="24"/>
                <w:highlight w:val="none"/>
                <w:lang w:bidi="ar"/>
              </w:rPr>
              <w:t>室内墙地砖</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5BD6392A">
            <w:pPr>
              <w:widowControl/>
              <w:jc w:val="center"/>
              <w:rPr>
                <w:rFonts w:hint="eastAsia" w:ascii="仿宋" w:hAnsi="仿宋" w:eastAsia="仿宋" w:cs="仿宋"/>
                <w:sz w:val="24"/>
                <w:highlight w:val="none"/>
              </w:rPr>
            </w:pPr>
            <w:r>
              <w:rPr>
                <w:rFonts w:ascii="仿宋" w:hAnsi="仿宋" w:eastAsia="仿宋" w:cs="仿宋"/>
                <w:sz w:val="24"/>
                <w:highlight w:val="none"/>
                <w:lang w:bidi="ar"/>
              </w:rPr>
              <w:t>东鹏、诺贝尔、冠珠、斯米克、新中源、欧神诺、金舵</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38E23968">
            <w:pPr>
              <w:jc w:val="center"/>
              <w:rPr>
                <w:rFonts w:hint="eastAsia" w:ascii="宋体" w:hAnsi="宋体"/>
                <w:szCs w:val="21"/>
                <w:highlight w:val="yellow"/>
              </w:rPr>
            </w:pPr>
          </w:p>
        </w:tc>
      </w:tr>
      <w:tr w14:paraId="1CD29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59EDFC56">
            <w:pPr>
              <w:jc w:val="center"/>
              <w:rPr>
                <w:rFonts w:hint="eastAsia" w:ascii="宋体" w:hAnsi="宋体"/>
                <w:szCs w:val="21"/>
                <w:highlight w:val="none"/>
              </w:rPr>
            </w:pPr>
            <w:r>
              <w:rPr>
                <w:rFonts w:hint="eastAsia" w:ascii="宋体" w:hAnsi="宋体"/>
                <w:szCs w:val="21"/>
                <w:highlight w:val="none"/>
              </w:rPr>
              <w:t>39</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18EF7B54">
            <w:pPr>
              <w:widowControl/>
              <w:jc w:val="center"/>
              <w:rPr>
                <w:rFonts w:hint="eastAsia" w:ascii="仿宋" w:hAnsi="仿宋" w:eastAsia="仿宋" w:cs="仿宋"/>
                <w:sz w:val="24"/>
                <w:highlight w:val="none"/>
              </w:rPr>
            </w:pPr>
            <w:r>
              <w:rPr>
                <w:rFonts w:ascii="仿宋" w:hAnsi="仿宋" w:eastAsia="仿宋" w:cs="仿宋"/>
                <w:sz w:val="24"/>
                <w:highlight w:val="none"/>
                <w:lang w:bidi="ar"/>
              </w:rPr>
              <w:t>美缝剂</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778E69F1">
            <w:pPr>
              <w:widowControl/>
              <w:jc w:val="center"/>
              <w:rPr>
                <w:rFonts w:hint="eastAsia" w:ascii="仿宋" w:hAnsi="仿宋" w:eastAsia="仿宋" w:cs="仿宋"/>
                <w:sz w:val="24"/>
                <w:highlight w:val="none"/>
              </w:rPr>
            </w:pPr>
            <w:r>
              <w:rPr>
                <w:rFonts w:ascii="仿宋" w:hAnsi="仿宋" w:eastAsia="仿宋" w:cs="仿宋"/>
                <w:sz w:val="24"/>
                <w:highlight w:val="none"/>
                <w:lang w:bidi="ar"/>
              </w:rPr>
              <w:t>韦伯、西卡、百得、使你佳</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11B75AD9">
            <w:pPr>
              <w:jc w:val="center"/>
              <w:rPr>
                <w:rFonts w:hint="eastAsia" w:ascii="宋体" w:hAnsi="宋体"/>
                <w:szCs w:val="21"/>
                <w:highlight w:val="yellow"/>
              </w:rPr>
            </w:pPr>
          </w:p>
        </w:tc>
      </w:tr>
      <w:tr w14:paraId="6CEEF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0A464C90">
            <w:pPr>
              <w:jc w:val="center"/>
              <w:rPr>
                <w:rFonts w:hint="eastAsia" w:ascii="宋体" w:hAnsi="宋体"/>
                <w:szCs w:val="21"/>
              </w:rPr>
            </w:pPr>
            <w:r>
              <w:rPr>
                <w:rFonts w:hint="eastAsia" w:ascii="宋体" w:hAnsi="宋体" w:cs="宋体"/>
                <w:szCs w:val="21"/>
                <w:lang w:bidi="ar"/>
              </w:rPr>
              <w:t>二</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0CF03767">
            <w:pPr>
              <w:jc w:val="center"/>
              <w:rPr>
                <w:rFonts w:hint="eastAsia" w:ascii="宋体" w:hAnsi="宋体"/>
                <w:b/>
                <w:szCs w:val="21"/>
              </w:rPr>
            </w:pPr>
            <w:r>
              <w:rPr>
                <w:rFonts w:hint="eastAsia" w:ascii="宋体" w:hAnsi="宋体" w:cs="宋体"/>
                <w:b/>
                <w:szCs w:val="21"/>
                <w:lang w:bidi="ar"/>
              </w:rPr>
              <w:t>电气工程</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0D9AFA50">
            <w:pPr>
              <w:jc w:val="center"/>
              <w:rPr>
                <w:rFonts w:hint="eastAsia" w:ascii="宋体" w:hAnsi="宋体"/>
                <w:szCs w:val="21"/>
              </w:rPr>
            </w:pP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0C08F98C">
            <w:pPr>
              <w:jc w:val="center"/>
              <w:rPr>
                <w:rFonts w:hint="eastAsia" w:ascii="宋体" w:hAnsi="宋体"/>
                <w:szCs w:val="21"/>
              </w:rPr>
            </w:pPr>
          </w:p>
        </w:tc>
      </w:tr>
      <w:tr w14:paraId="01F4B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29930F74">
            <w:pPr>
              <w:jc w:val="center"/>
              <w:rPr>
                <w:rFonts w:hint="eastAsia" w:ascii="宋体" w:hAnsi="宋体"/>
                <w:szCs w:val="21"/>
              </w:rPr>
            </w:pPr>
            <w:r>
              <w:rPr>
                <w:rFonts w:hint="eastAsia" w:ascii="宋体" w:hAnsi="宋体" w:cs="宋体"/>
                <w:szCs w:val="21"/>
                <w:lang w:bidi="ar"/>
              </w:rPr>
              <w:t>1</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4AD55768">
            <w:pPr>
              <w:jc w:val="center"/>
              <w:rPr>
                <w:rFonts w:hint="eastAsia" w:ascii="宋体" w:hAnsi="宋体"/>
                <w:szCs w:val="21"/>
              </w:rPr>
            </w:pPr>
            <w:r>
              <w:rPr>
                <w:rFonts w:hint="eastAsia" w:ascii="宋体" w:hAnsi="宋体" w:cs="宋体"/>
                <w:szCs w:val="21"/>
                <w:lang w:bidi="ar"/>
              </w:rPr>
              <w:t>桥架</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79AEAD28">
            <w:pPr>
              <w:ind w:firstLine="480"/>
              <w:jc w:val="center"/>
              <w:rPr>
                <w:rFonts w:hint="eastAsia" w:ascii="宋体" w:hAnsi="宋体"/>
                <w:szCs w:val="21"/>
              </w:rPr>
            </w:pPr>
            <w:r>
              <w:rPr>
                <w:rFonts w:hint="eastAsia" w:ascii="宋体" w:hAnsi="宋体" w:cs="宋体"/>
                <w:szCs w:val="21"/>
                <w:lang w:bidi="ar"/>
              </w:rPr>
              <w:t>华彤、鹏正、士林、朋达、旭晟</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46BB0564">
            <w:pPr>
              <w:jc w:val="center"/>
              <w:rPr>
                <w:rFonts w:hint="eastAsia" w:ascii="宋体" w:hAnsi="宋体"/>
                <w:szCs w:val="21"/>
              </w:rPr>
            </w:pPr>
          </w:p>
        </w:tc>
      </w:tr>
      <w:tr w14:paraId="011A6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708A7133">
            <w:pPr>
              <w:jc w:val="center"/>
              <w:rPr>
                <w:rFonts w:hint="eastAsia" w:ascii="宋体" w:hAnsi="宋体"/>
                <w:szCs w:val="21"/>
              </w:rPr>
            </w:pPr>
            <w:r>
              <w:rPr>
                <w:rFonts w:hint="eastAsia" w:ascii="宋体" w:hAnsi="宋体" w:cs="宋体"/>
                <w:szCs w:val="21"/>
                <w:lang w:bidi="ar"/>
              </w:rPr>
              <w:t>2</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74BF760D">
            <w:pPr>
              <w:ind w:firstLine="480"/>
              <w:jc w:val="center"/>
              <w:rPr>
                <w:rFonts w:hint="eastAsia" w:ascii="宋体" w:hAnsi="宋体"/>
                <w:szCs w:val="21"/>
              </w:rPr>
            </w:pPr>
            <w:r>
              <w:rPr>
                <w:rFonts w:hint="eastAsia" w:ascii="宋体" w:hAnsi="宋体" w:cs="宋体"/>
                <w:szCs w:val="21"/>
                <w:lang w:bidi="ar"/>
              </w:rPr>
              <w:t>配电柜</w:t>
            </w:r>
            <w:r>
              <w:rPr>
                <w:rFonts w:hint="eastAsia" w:ascii="宋体" w:hAnsi="宋体"/>
                <w:szCs w:val="21"/>
                <w:lang w:bidi="ar"/>
              </w:rPr>
              <w:t>/</w:t>
            </w:r>
            <w:r>
              <w:rPr>
                <w:rFonts w:hint="eastAsia" w:ascii="宋体" w:hAnsi="宋体" w:cs="宋体"/>
                <w:szCs w:val="21"/>
                <w:lang w:bidi="ar"/>
              </w:rPr>
              <w:t>箱</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326481DB">
            <w:pPr>
              <w:ind w:firstLine="480"/>
              <w:jc w:val="center"/>
              <w:rPr>
                <w:rFonts w:hint="eastAsia" w:ascii="宋体" w:hAnsi="宋体"/>
                <w:szCs w:val="21"/>
              </w:rPr>
            </w:pPr>
            <w:r>
              <w:rPr>
                <w:rFonts w:hint="eastAsia" w:ascii="宋体" w:hAnsi="宋体" w:cs="宋体"/>
                <w:szCs w:val="21"/>
                <w:lang w:bidi="ar"/>
              </w:rPr>
              <w:t>正泰、德力西、北元</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1E9CDFB5">
            <w:pPr>
              <w:jc w:val="center"/>
              <w:rPr>
                <w:rFonts w:hint="eastAsia" w:ascii="宋体" w:hAnsi="宋体"/>
                <w:szCs w:val="21"/>
              </w:rPr>
            </w:pPr>
          </w:p>
        </w:tc>
      </w:tr>
      <w:tr w14:paraId="32001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3A9F3A50">
            <w:pPr>
              <w:jc w:val="center"/>
              <w:rPr>
                <w:rFonts w:hint="eastAsia" w:ascii="宋体" w:hAnsi="宋体"/>
                <w:szCs w:val="21"/>
              </w:rPr>
            </w:pPr>
            <w:r>
              <w:rPr>
                <w:rFonts w:hint="eastAsia" w:ascii="宋体" w:hAnsi="宋体" w:cs="宋体"/>
                <w:szCs w:val="21"/>
                <w:lang w:bidi="ar"/>
              </w:rPr>
              <w:t>3</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6DC23F82">
            <w:pPr>
              <w:ind w:firstLine="480"/>
              <w:jc w:val="center"/>
              <w:rPr>
                <w:rFonts w:hint="eastAsia" w:ascii="宋体" w:hAnsi="宋体"/>
                <w:szCs w:val="21"/>
              </w:rPr>
            </w:pPr>
            <w:r>
              <w:rPr>
                <w:rFonts w:hint="eastAsia" w:ascii="宋体" w:hAnsi="宋体" w:cs="宋体"/>
                <w:szCs w:val="21"/>
                <w:lang w:bidi="ar"/>
              </w:rPr>
              <w:t>元器件</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32F898EE">
            <w:pPr>
              <w:ind w:firstLine="480"/>
              <w:jc w:val="center"/>
              <w:rPr>
                <w:rFonts w:hint="eastAsia" w:ascii="宋体" w:hAnsi="宋体"/>
                <w:szCs w:val="21"/>
              </w:rPr>
            </w:pPr>
            <w:r>
              <w:rPr>
                <w:rFonts w:hint="eastAsia" w:ascii="宋体" w:hAnsi="宋体" w:cs="宋体"/>
                <w:szCs w:val="21"/>
                <w:lang w:bidi="ar"/>
              </w:rPr>
              <w:t>西门子、施耐德、A</w:t>
            </w:r>
            <w:r>
              <w:rPr>
                <w:rFonts w:hint="eastAsia" w:ascii="宋体" w:hAnsi="宋体"/>
                <w:szCs w:val="21"/>
                <w:lang w:bidi="ar"/>
              </w:rPr>
              <w:t>BB</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1D31CDE7">
            <w:pPr>
              <w:jc w:val="center"/>
              <w:rPr>
                <w:rFonts w:hint="eastAsia" w:ascii="宋体" w:hAnsi="宋体"/>
                <w:szCs w:val="21"/>
              </w:rPr>
            </w:pPr>
          </w:p>
        </w:tc>
      </w:tr>
      <w:tr w14:paraId="2F5ED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69586FFA">
            <w:pPr>
              <w:jc w:val="center"/>
              <w:rPr>
                <w:rFonts w:hint="eastAsia" w:ascii="宋体" w:hAnsi="宋体"/>
                <w:szCs w:val="21"/>
              </w:rPr>
            </w:pPr>
            <w:r>
              <w:rPr>
                <w:rFonts w:hint="eastAsia" w:ascii="宋体" w:hAnsi="宋体"/>
                <w:szCs w:val="21"/>
                <w:lang w:bidi="ar"/>
              </w:rPr>
              <w:t>4</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63B9FB3C">
            <w:pPr>
              <w:ind w:firstLine="480"/>
              <w:jc w:val="center"/>
              <w:rPr>
                <w:rFonts w:hint="eastAsia" w:ascii="宋体" w:hAnsi="宋体"/>
                <w:szCs w:val="21"/>
              </w:rPr>
            </w:pPr>
            <w:r>
              <w:rPr>
                <w:rFonts w:hint="eastAsia" w:ascii="宋体" w:hAnsi="宋体" w:cs="宋体"/>
                <w:szCs w:val="21"/>
                <w:lang w:bidi="ar"/>
              </w:rPr>
              <w:t>电线电缆</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1FB5513F">
            <w:pPr>
              <w:ind w:firstLine="480"/>
              <w:jc w:val="center"/>
              <w:rPr>
                <w:rFonts w:hint="eastAsia" w:ascii="宋体" w:hAnsi="宋体"/>
                <w:szCs w:val="21"/>
              </w:rPr>
            </w:pPr>
            <w:r>
              <w:rPr>
                <w:rFonts w:hint="eastAsia" w:ascii="宋体" w:hAnsi="宋体" w:cs="宋体"/>
                <w:szCs w:val="21"/>
                <w:lang w:bidi="ar"/>
              </w:rPr>
              <w:t>远东</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0A1AF1DB">
            <w:pPr>
              <w:jc w:val="center"/>
              <w:rPr>
                <w:rFonts w:hint="eastAsia" w:ascii="宋体" w:hAnsi="宋体"/>
                <w:szCs w:val="21"/>
              </w:rPr>
            </w:pPr>
          </w:p>
        </w:tc>
      </w:tr>
      <w:tr w14:paraId="54AE7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32DC1F3A">
            <w:pPr>
              <w:jc w:val="center"/>
              <w:rPr>
                <w:rFonts w:hint="eastAsia" w:ascii="宋体" w:hAnsi="宋体"/>
                <w:szCs w:val="21"/>
              </w:rPr>
            </w:pPr>
            <w:r>
              <w:rPr>
                <w:rFonts w:hint="eastAsia" w:ascii="宋体" w:hAnsi="宋体"/>
                <w:szCs w:val="21"/>
                <w:lang w:bidi="ar"/>
              </w:rPr>
              <w:t>5</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63A05756">
            <w:pPr>
              <w:ind w:firstLine="480"/>
              <w:jc w:val="center"/>
              <w:rPr>
                <w:rFonts w:hint="eastAsia" w:ascii="宋体" w:hAnsi="宋体"/>
                <w:szCs w:val="21"/>
              </w:rPr>
            </w:pPr>
            <w:r>
              <w:rPr>
                <w:rFonts w:hint="eastAsia" w:ascii="宋体" w:hAnsi="宋体" w:cs="宋体"/>
                <w:szCs w:val="21"/>
                <w:lang w:bidi="ar"/>
              </w:rPr>
              <w:t>开关插座</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51C358FE">
            <w:pPr>
              <w:ind w:firstLine="480"/>
              <w:jc w:val="center"/>
              <w:rPr>
                <w:rFonts w:hint="eastAsia" w:ascii="宋体" w:hAnsi="宋体"/>
                <w:szCs w:val="21"/>
              </w:rPr>
            </w:pPr>
            <w:r>
              <w:rPr>
                <w:rFonts w:hint="eastAsia" w:ascii="宋体" w:hAnsi="宋体" w:cs="宋体"/>
                <w:szCs w:val="21"/>
                <w:lang w:bidi="ar"/>
              </w:rPr>
              <w:t>西门子、施耐德、松下、T</w:t>
            </w:r>
            <w:r>
              <w:rPr>
                <w:rFonts w:hint="eastAsia" w:ascii="宋体" w:hAnsi="宋体"/>
                <w:szCs w:val="21"/>
                <w:lang w:bidi="ar"/>
              </w:rPr>
              <w:t>CL</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1D557D6F">
            <w:pPr>
              <w:jc w:val="center"/>
              <w:rPr>
                <w:rFonts w:hint="eastAsia" w:ascii="宋体" w:hAnsi="宋体"/>
                <w:szCs w:val="21"/>
              </w:rPr>
            </w:pPr>
          </w:p>
        </w:tc>
      </w:tr>
      <w:tr w14:paraId="4BDB2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1EA5B826">
            <w:pPr>
              <w:jc w:val="center"/>
              <w:rPr>
                <w:rFonts w:hint="eastAsia" w:ascii="宋体" w:hAnsi="宋体"/>
                <w:szCs w:val="21"/>
              </w:rPr>
            </w:pPr>
            <w:r>
              <w:rPr>
                <w:rFonts w:hint="eastAsia" w:ascii="宋体" w:hAnsi="宋体"/>
                <w:szCs w:val="21"/>
                <w:lang w:bidi="ar"/>
              </w:rPr>
              <w:t>6</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21324C6C">
            <w:pPr>
              <w:ind w:firstLine="480"/>
              <w:jc w:val="center"/>
              <w:rPr>
                <w:rFonts w:hint="eastAsia" w:ascii="宋体" w:hAnsi="宋体"/>
                <w:szCs w:val="21"/>
              </w:rPr>
            </w:pPr>
            <w:r>
              <w:rPr>
                <w:rFonts w:hint="eastAsia" w:ascii="宋体" w:hAnsi="宋体" w:cs="宋体"/>
                <w:szCs w:val="21"/>
                <w:lang w:bidi="ar"/>
              </w:rPr>
              <w:t>照明灯具</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1EAB0259">
            <w:pPr>
              <w:ind w:firstLine="480"/>
              <w:jc w:val="center"/>
              <w:rPr>
                <w:rFonts w:hint="eastAsia" w:ascii="宋体" w:hAnsi="宋体"/>
                <w:szCs w:val="21"/>
              </w:rPr>
            </w:pPr>
            <w:r>
              <w:rPr>
                <w:rFonts w:hint="eastAsia" w:ascii="宋体" w:hAnsi="宋体" w:cs="宋体"/>
                <w:szCs w:val="21"/>
                <w:lang w:bidi="ar"/>
              </w:rPr>
              <w:t>飞利浦、雷士、欧普</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038FDBA3">
            <w:pPr>
              <w:jc w:val="center"/>
              <w:rPr>
                <w:rFonts w:hint="eastAsia" w:ascii="宋体" w:hAnsi="宋体"/>
                <w:szCs w:val="21"/>
              </w:rPr>
            </w:pPr>
          </w:p>
        </w:tc>
      </w:tr>
      <w:tr w14:paraId="1EE1F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5BC79E5F">
            <w:pPr>
              <w:jc w:val="center"/>
              <w:rPr>
                <w:rFonts w:hint="eastAsia" w:ascii="宋体" w:hAnsi="宋体"/>
                <w:szCs w:val="21"/>
              </w:rPr>
            </w:pPr>
            <w:r>
              <w:rPr>
                <w:rFonts w:hint="eastAsia" w:ascii="宋体" w:hAnsi="宋体"/>
                <w:szCs w:val="21"/>
                <w:lang w:bidi="ar"/>
              </w:rPr>
              <w:t>7</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000C1059">
            <w:pPr>
              <w:ind w:firstLine="480"/>
              <w:jc w:val="center"/>
              <w:rPr>
                <w:rFonts w:hint="eastAsia" w:ascii="宋体" w:hAnsi="宋体"/>
                <w:szCs w:val="21"/>
              </w:rPr>
            </w:pPr>
            <w:r>
              <w:rPr>
                <w:rFonts w:hint="eastAsia" w:ascii="宋体" w:hAnsi="宋体" w:cs="宋体"/>
                <w:szCs w:val="21"/>
                <w:lang w:bidi="ar"/>
              </w:rPr>
              <w:t>抗震支架</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10275244">
            <w:pPr>
              <w:ind w:firstLine="480"/>
              <w:jc w:val="center"/>
              <w:rPr>
                <w:rFonts w:hint="eastAsia" w:ascii="宋体" w:hAnsi="宋体"/>
                <w:szCs w:val="21"/>
              </w:rPr>
            </w:pPr>
            <w:r>
              <w:rPr>
                <w:rFonts w:hint="eastAsia" w:ascii="宋体" w:hAnsi="宋体" w:cs="宋体"/>
                <w:szCs w:val="21"/>
                <w:lang w:bidi="ar"/>
              </w:rPr>
              <w:t>华固、奇昇、凯晨、戎辉、森基、申芳</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7B3D3E25">
            <w:pPr>
              <w:jc w:val="center"/>
              <w:rPr>
                <w:rFonts w:hint="eastAsia" w:ascii="宋体" w:hAnsi="宋体"/>
                <w:szCs w:val="21"/>
              </w:rPr>
            </w:pPr>
          </w:p>
        </w:tc>
      </w:tr>
      <w:tr w14:paraId="2A7C7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0BD73079">
            <w:pPr>
              <w:jc w:val="center"/>
              <w:rPr>
                <w:rFonts w:hint="eastAsia" w:ascii="宋体" w:hAnsi="宋体"/>
                <w:szCs w:val="21"/>
              </w:rPr>
            </w:pPr>
            <w:r>
              <w:rPr>
                <w:rFonts w:hint="eastAsia" w:ascii="宋体" w:hAnsi="宋体" w:cs="宋体"/>
                <w:szCs w:val="21"/>
                <w:lang w:bidi="ar"/>
              </w:rPr>
              <w:t>8</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25C4D5DC">
            <w:pPr>
              <w:ind w:firstLine="480"/>
              <w:jc w:val="center"/>
              <w:rPr>
                <w:rFonts w:hint="eastAsia" w:ascii="宋体" w:hAnsi="宋体"/>
                <w:szCs w:val="21"/>
              </w:rPr>
            </w:pPr>
            <w:r>
              <w:rPr>
                <w:rFonts w:hint="eastAsia" w:ascii="宋体" w:hAnsi="宋体" w:cs="宋体"/>
                <w:szCs w:val="21"/>
                <w:lang w:bidi="ar"/>
              </w:rPr>
              <w:t>消火栓按钮模块</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0DF3E025">
            <w:pPr>
              <w:ind w:firstLine="480"/>
              <w:jc w:val="center"/>
              <w:rPr>
                <w:rFonts w:hint="eastAsia" w:ascii="宋体" w:hAnsi="宋体"/>
                <w:szCs w:val="21"/>
              </w:rPr>
            </w:pPr>
            <w:r>
              <w:rPr>
                <w:rFonts w:hint="eastAsia" w:ascii="宋体" w:hAnsi="宋体" w:cs="宋体"/>
                <w:szCs w:val="21"/>
                <w:lang w:bidi="ar"/>
              </w:rPr>
              <w:t>北京利达</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7E4E3FCA">
            <w:pPr>
              <w:jc w:val="center"/>
              <w:rPr>
                <w:rFonts w:hint="eastAsia" w:ascii="宋体" w:hAnsi="宋体"/>
                <w:szCs w:val="21"/>
              </w:rPr>
            </w:pPr>
            <w:r>
              <w:rPr>
                <w:rFonts w:hint="eastAsia" w:ascii="宋体" w:hAnsi="宋体" w:cs="宋体"/>
                <w:szCs w:val="21"/>
                <w:lang w:bidi="ar"/>
              </w:rPr>
              <w:t>与原厂区使用品牌一致</w:t>
            </w:r>
          </w:p>
        </w:tc>
      </w:tr>
      <w:tr w14:paraId="10B60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2EB1C8E5">
            <w:pPr>
              <w:jc w:val="center"/>
              <w:rPr>
                <w:rFonts w:hint="eastAsia" w:ascii="宋体" w:hAnsi="宋体" w:cs="宋体"/>
                <w:szCs w:val="21"/>
                <w:lang w:bidi="ar"/>
              </w:rPr>
            </w:pPr>
            <w:r>
              <w:rPr>
                <w:rFonts w:hint="eastAsia" w:ascii="宋体" w:hAnsi="宋体" w:cs="宋体"/>
                <w:szCs w:val="21"/>
                <w:lang w:bidi="ar"/>
              </w:rPr>
              <w:t>9</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454047B5">
            <w:pPr>
              <w:ind w:firstLine="480"/>
              <w:jc w:val="center"/>
              <w:rPr>
                <w:rFonts w:hint="eastAsia" w:ascii="宋体" w:hAnsi="宋体" w:cs="宋体"/>
                <w:szCs w:val="21"/>
                <w:lang w:bidi="ar"/>
              </w:rPr>
            </w:pPr>
            <w:r>
              <w:rPr>
                <w:rFonts w:hint="eastAsia" w:ascii="宋体" w:hAnsi="宋体" w:cs="宋体"/>
                <w:szCs w:val="21"/>
                <w:lang w:bidi="ar"/>
              </w:rPr>
              <w:t>门禁、人脸识别、摄像头</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13B7977A">
            <w:pPr>
              <w:ind w:firstLine="480"/>
              <w:jc w:val="center"/>
              <w:rPr>
                <w:rFonts w:hint="eastAsia" w:ascii="宋体" w:hAnsi="宋体" w:cs="宋体"/>
                <w:szCs w:val="21"/>
                <w:lang w:bidi="ar"/>
              </w:rPr>
            </w:pPr>
            <w:r>
              <w:rPr>
                <w:rFonts w:hint="eastAsia" w:ascii="宋体" w:hAnsi="宋体" w:cs="宋体"/>
                <w:szCs w:val="21"/>
                <w:lang w:bidi="ar"/>
              </w:rPr>
              <w:t>海康威视</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11E029AC">
            <w:pPr>
              <w:jc w:val="center"/>
              <w:rPr>
                <w:rFonts w:hint="eastAsia" w:ascii="宋体" w:hAnsi="宋体" w:cs="宋体"/>
                <w:szCs w:val="21"/>
                <w:lang w:bidi="ar"/>
              </w:rPr>
            </w:pPr>
            <w:r>
              <w:rPr>
                <w:rFonts w:hint="eastAsia" w:ascii="宋体" w:hAnsi="宋体" w:cs="宋体"/>
                <w:szCs w:val="21"/>
                <w:lang w:bidi="ar"/>
              </w:rPr>
              <w:t>与原厂区使用品牌一致</w:t>
            </w:r>
          </w:p>
        </w:tc>
      </w:tr>
      <w:tr w14:paraId="5F955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1728E35D">
            <w:pPr>
              <w:jc w:val="center"/>
              <w:rPr>
                <w:rFonts w:hint="eastAsia" w:ascii="宋体" w:hAnsi="宋体"/>
                <w:szCs w:val="21"/>
              </w:rPr>
            </w:pPr>
            <w:r>
              <w:rPr>
                <w:rFonts w:hint="eastAsia" w:ascii="宋体" w:hAnsi="宋体" w:cs="宋体"/>
                <w:szCs w:val="21"/>
                <w:lang w:bidi="ar"/>
              </w:rPr>
              <w:t>三</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115C093B">
            <w:pPr>
              <w:jc w:val="center"/>
              <w:rPr>
                <w:rFonts w:hint="eastAsia" w:ascii="宋体" w:hAnsi="宋体"/>
                <w:b/>
                <w:szCs w:val="21"/>
              </w:rPr>
            </w:pPr>
            <w:r>
              <w:rPr>
                <w:rFonts w:hint="eastAsia" w:ascii="宋体" w:hAnsi="宋体" w:cs="宋体"/>
                <w:b/>
                <w:szCs w:val="21"/>
                <w:lang w:bidi="ar"/>
              </w:rPr>
              <w:t>水暖工程</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304480E3">
            <w:pPr>
              <w:jc w:val="center"/>
              <w:rPr>
                <w:rFonts w:hint="eastAsia" w:ascii="宋体" w:hAnsi="宋体"/>
                <w:szCs w:val="21"/>
              </w:rPr>
            </w:pP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7F8E9CE1">
            <w:pPr>
              <w:jc w:val="center"/>
              <w:rPr>
                <w:rFonts w:hint="eastAsia" w:ascii="宋体" w:hAnsi="宋体"/>
                <w:szCs w:val="21"/>
              </w:rPr>
            </w:pPr>
          </w:p>
        </w:tc>
      </w:tr>
      <w:tr w14:paraId="26999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790AB181">
            <w:pPr>
              <w:jc w:val="center"/>
              <w:rPr>
                <w:rFonts w:hint="eastAsia" w:ascii="宋体" w:hAnsi="宋体"/>
                <w:szCs w:val="21"/>
              </w:rPr>
            </w:pPr>
            <w:r>
              <w:rPr>
                <w:rFonts w:hint="eastAsia" w:ascii="宋体" w:hAnsi="宋体" w:cs="宋体"/>
                <w:szCs w:val="21"/>
                <w:lang w:bidi="ar"/>
              </w:rPr>
              <w:t>1</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39E180EB">
            <w:pPr>
              <w:ind w:firstLine="480"/>
              <w:jc w:val="center"/>
              <w:rPr>
                <w:rFonts w:hint="eastAsia" w:ascii="宋体" w:hAnsi="宋体"/>
                <w:szCs w:val="21"/>
              </w:rPr>
            </w:pPr>
            <w:bookmarkStart w:id="14" w:name="_Hlk188628844"/>
            <w:r>
              <w:rPr>
                <w:rFonts w:hint="eastAsia" w:ascii="宋体" w:hAnsi="宋体" w:cs="宋体"/>
                <w:szCs w:val="21"/>
                <w:lang w:bidi="ar"/>
              </w:rPr>
              <w:t>风淋室</w:t>
            </w:r>
            <w:bookmarkEnd w:id="14"/>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220B075F">
            <w:pPr>
              <w:ind w:firstLine="480"/>
              <w:jc w:val="center"/>
              <w:rPr>
                <w:rFonts w:hint="eastAsia" w:ascii="宋体" w:hAnsi="宋体"/>
                <w:szCs w:val="21"/>
              </w:rPr>
            </w:pPr>
            <w:r>
              <w:rPr>
                <w:rFonts w:hint="eastAsia" w:ascii="宋体" w:hAnsi="宋体" w:cs="宋体"/>
                <w:szCs w:val="21"/>
                <w:lang w:bidi="ar"/>
              </w:rPr>
              <w:t>苏净、柏本、奥宣</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5974BB76">
            <w:pPr>
              <w:jc w:val="center"/>
              <w:rPr>
                <w:rFonts w:hint="eastAsia" w:ascii="宋体" w:hAnsi="宋体"/>
                <w:szCs w:val="21"/>
                <w:highlight w:val="magenta"/>
              </w:rPr>
            </w:pPr>
          </w:p>
        </w:tc>
      </w:tr>
      <w:tr w14:paraId="20887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1648E193">
            <w:pPr>
              <w:jc w:val="center"/>
              <w:rPr>
                <w:rFonts w:hint="eastAsia" w:ascii="宋体" w:hAnsi="宋体"/>
                <w:szCs w:val="21"/>
              </w:rPr>
            </w:pPr>
            <w:r>
              <w:rPr>
                <w:rFonts w:hint="eastAsia" w:ascii="宋体" w:hAnsi="宋体"/>
                <w:szCs w:val="21"/>
                <w:lang w:bidi="ar"/>
              </w:rPr>
              <w:t>2</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0FCC0DBC">
            <w:pPr>
              <w:ind w:firstLine="480"/>
              <w:jc w:val="center"/>
              <w:rPr>
                <w:rFonts w:hint="eastAsia" w:ascii="宋体" w:hAnsi="宋体"/>
                <w:szCs w:val="21"/>
              </w:rPr>
            </w:pPr>
            <w:r>
              <w:rPr>
                <w:rFonts w:hint="eastAsia" w:ascii="宋体" w:hAnsi="宋体" w:cs="宋体"/>
                <w:szCs w:val="21"/>
                <w:lang w:bidi="ar"/>
              </w:rPr>
              <w:t>保温材料</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5385877E">
            <w:pPr>
              <w:ind w:firstLine="480"/>
              <w:jc w:val="center"/>
              <w:rPr>
                <w:rFonts w:hint="eastAsia" w:ascii="宋体" w:hAnsi="宋体"/>
                <w:szCs w:val="21"/>
              </w:rPr>
            </w:pPr>
            <w:r>
              <w:rPr>
                <w:rFonts w:hint="eastAsia" w:ascii="宋体" w:hAnsi="宋体" w:cs="宋体"/>
                <w:szCs w:val="21"/>
                <w:lang w:bidi="ar"/>
              </w:rPr>
              <w:t>欧文斯科宁、华美、奥美斯</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6CDAB2AC">
            <w:pPr>
              <w:jc w:val="center"/>
              <w:rPr>
                <w:rFonts w:hint="eastAsia" w:ascii="宋体" w:hAnsi="宋体"/>
                <w:szCs w:val="21"/>
                <w:highlight w:val="magenta"/>
              </w:rPr>
            </w:pPr>
          </w:p>
        </w:tc>
      </w:tr>
      <w:tr w14:paraId="13B7F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313E20BF">
            <w:pPr>
              <w:jc w:val="center"/>
              <w:rPr>
                <w:rFonts w:hint="eastAsia" w:ascii="宋体" w:hAnsi="宋体"/>
                <w:szCs w:val="21"/>
              </w:rPr>
            </w:pPr>
            <w:r>
              <w:rPr>
                <w:rFonts w:hint="eastAsia" w:ascii="宋体" w:hAnsi="宋体"/>
                <w:szCs w:val="21"/>
                <w:lang w:bidi="ar"/>
              </w:rPr>
              <w:t>3</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187EBA05">
            <w:pPr>
              <w:ind w:firstLine="480"/>
              <w:jc w:val="center"/>
              <w:rPr>
                <w:rFonts w:hint="eastAsia" w:ascii="宋体" w:hAnsi="宋体"/>
                <w:szCs w:val="21"/>
              </w:rPr>
            </w:pPr>
            <w:r>
              <w:rPr>
                <w:rFonts w:hint="eastAsia" w:ascii="宋体" w:hAnsi="宋体" w:cs="宋体"/>
                <w:szCs w:val="21"/>
                <w:lang w:bidi="ar"/>
              </w:rPr>
              <w:t>净化空调</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6D1324E7">
            <w:pPr>
              <w:ind w:firstLine="480"/>
              <w:jc w:val="center"/>
              <w:rPr>
                <w:rFonts w:hint="eastAsia" w:ascii="宋体" w:hAnsi="宋体"/>
                <w:szCs w:val="21"/>
              </w:rPr>
            </w:pPr>
            <w:r>
              <w:rPr>
                <w:rFonts w:hint="eastAsia" w:ascii="宋体" w:hAnsi="宋体" w:cs="宋体"/>
                <w:szCs w:val="21"/>
                <w:lang w:bidi="ar"/>
              </w:rPr>
              <w:t>约克、特灵、天加、富田</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14DF1451">
            <w:pPr>
              <w:jc w:val="center"/>
              <w:rPr>
                <w:rFonts w:hint="eastAsia" w:ascii="宋体" w:hAnsi="宋体"/>
                <w:szCs w:val="21"/>
                <w:highlight w:val="magenta"/>
              </w:rPr>
            </w:pPr>
          </w:p>
        </w:tc>
      </w:tr>
      <w:tr w14:paraId="14111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5A355F39">
            <w:pPr>
              <w:jc w:val="center"/>
              <w:rPr>
                <w:rFonts w:hint="eastAsia" w:ascii="宋体" w:hAnsi="宋体"/>
                <w:szCs w:val="21"/>
              </w:rPr>
            </w:pPr>
            <w:r>
              <w:rPr>
                <w:rFonts w:hint="eastAsia" w:ascii="宋体" w:hAnsi="宋体" w:cs="宋体"/>
                <w:szCs w:val="21"/>
                <w:lang w:bidi="ar"/>
              </w:rPr>
              <w:t>4</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0BBD8AE5">
            <w:pPr>
              <w:jc w:val="center"/>
              <w:rPr>
                <w:rFonts w:hint="eastAsia" w:ascii="宋体" w:hAnsi="宋体"/>
                <w:szCs w:val="21"/>
              </w:rPr>
            </w:pPr>
            <w:r>
              <w:rPr>
                <w:rFonts w:hint="eastAsia" w:ascii="宋体" w:hAnsi="宋体" w:cs="宋体"/>
                <w:szCs w:val="21"/>
                <w:lang w:bidi="ar"/>
              </w:rPr>
              <w:t>传感器</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66BC6222">
            <w:pPr>
              <w:ind w:firstLine="480"/>
              <w:jc w:val="center"/>
              <w:rPr>
                <w:rFonts w:hint="eastAsia" w:ascii="宋体" w:hAnsi="宋体"/>
                <w:szCs w:val="21"/>
              </w:rPr>
            </w:pPr>
            <w:r>
              <w:rPr>
                <w:rFonts w:hint="eastAsia" w:ascii="宋体" w:hAnsi="宋体" w:cs="宋体"/>
                <w:szCs w:val="21"/>
                <w:lang w:bidi="ar"/>
              </w:rPr>
              <w:t>A</w:t>
            </w:r>
            <w:r>
              <w:rPr>
                <w:rFonts w:hint="eastAsia" w:ascii="宋体" w:hAnsi="宋体"/>
                <w:szCs w:val="21"/>
                <w:lang w:bidi="ar"/>
              </w:rPr>
              <w:t>BB</w:t>
            </w:r>
            <w:r>
              <w:rPr>
                <w:rFonts w:hint="eastAsia" w:ascii="宋体" w:hAnsi="宋体" w:cs="宋体"/>
                <w:szCs w:val="21"/>
                <w:lang w:bidi="ar"/>
              </w:rPr>
              <w:t>、西门子、维萨拉</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7A51F0AC">
            <w:pPr>
              <w:jc w:val="center"/>
              <w:rPr>
                <w:rFonts w:hint="eastAsia" w:ascii="宋体" w:hAnsi="宋体"/>
                <w:szCs w:val="21"/>
              </w:rPr>
            </w:pPr>
          </w:p>
        </w:tc>
      </w:tr>
      <w:tr w14:paraId="65EEE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68DAF238">
            <w:pPr>
              <w:jc w:val="center"/>
              <w:rPr>
                <w:rFonts w:hint="eastAsia" w:ascii="宋体" w:hAnsi="宋体"/>
                <w:szCs w:val="21"/>
              </w:rPr>
            </w:pPr>
            <w:r>
              <w:rPr>
                <w:rFonts w:hint="eastAsia" w:ascii="宋体" w:hAnsi="宋体"/>
                <w:szCs w:val="21"/>
                <w:lang w:bidi="ar"/>
              </w:rPr>
              <w:t>5</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54F94DD2">
            <w:pPr>
              <w:jc w:val="center"/>
              <w:rPr>
                <w:rFonts w:hint="eastAsia" w:ascii="宋体" w:hAnsi="宋体"/>
                <w:szCs w:val="21"/>
              </w:rPr>
            </w:pPr>
            <w:r>
              <w:rPr>
                <w:rFonts w:hint="eastAsia" w:ascii="宋体" w:hAnsi="宋体" w:cs="宋体"/>
                <w:szCs w:val="21"/>
                <w:lang w:bidi="ar"/>
              </w:rPr>
              <w:t>不锈钢焊接钢管</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024288EF">
            <w:pPr>
              <w:ind w:firstLine="480"/>
              <w:jc w:val="center"/>
              <w:rPr>
                <w:rFonts w:hint="eastAsia" w:ascii="宋体" w:hAnsi="宋体"/>
                <w:szCs w:val="21"/>
              </w:rPr>
            </w:pPr>
            <w:r>
              <w:rPr>
                <w:rFonts w:hint="eastAsia" w:ascii="宋体" w:hAnsi="宋体" w:cs="宋体"/>
                <w:szCs w:val="21"/>
                <w:lang w:bidi="ar"/>
              </w:rPr>
              <w:t>金洲、利达、国强、马钢</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75A66A25">
            <w:pPr>
              <w:jc w:val="center"/>
              <w:rPr>
                <w:rFonts w:hint="eastAsia" w:ascii="宋体" w:hAnsi="宋体"/>
                <w:szCs w:val="21"/>
              </w:rPr>
            </w:pPr>
          </w:p>
        </w:tc>
      </w:tr>
      <w:tr w14:paraId="4A809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614F7B8E">
            <w:pPr>
              <w:jc w:val="center"/>
              <w:rPr>
                <w:rFonts w:hint="eastAsia" w:ascii="宋体" w:hAnsi="宋体"/>
                <w:szCs w:val="21"/>
              </w:rPr>
            </w:pPr>
            <w:r>
              <w:rPr>
                <w:rFonts w:hint="eastAsia" w:ascii="宋体" w:hAnsi="宋体"/>
                <w:szCs w:val="21"/>
                <w:lang w:bidi="ar"/>
              </w:rPr>
              <w:t>6</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7BC91A65">
            <w:pPr>
              <w:ind w:firstLine="480"/>
              <w:jc w:val="center"/>
              <w:rPr>
                <w:rFonts w:hint="eastAsia" w:ascii="宋体" w:hAnsi="宋体"/>
                <w:szCs w:val="21"/>
              </w:rPr>
            </w:pPr>
            <w:r>
              <w:rPr>
                <w:rFonts w:hint="eastAsia" w:ascii="宋体" w:hAnsi="宋体" w:cs="宋体"/>
                <w:szCs w:val="21"/>
                <w:lang w:bidi="ar"/>
              </w:rPr>
              <w:t>热浸镀锌钢管、内衬塑热镀锌钢管</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29FFC3B5">
            <w:pPr>
              <w:ind w:firstLine="480"/>
              <w:jc w:val="center"/>
              <w:rPr>
                <w:rFonts w:hint="eastAsia" w:ascii="宋体" w:hAnsi="宋体"/>
                <w:szCs w:val="21"/>
              </w:rPr>
            </w:pPr>
            <w:r>
              <w:rPr>
                <w:rFonts w:hint="eastAsia" w:ascii="宋体" w:hAnsi="宋体" w:cs="宋体"/>
                <w:szCs w:val="21"/>
                <w:lang w:bidi="ar"/>
              </w:rPr>
              <w:t>金洲、利达、国强、友发</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098104CC">
            <w:pPr>
              <w:jc w:val="center"/>
              <w:rPr>
                <w:rFonts w:hint="eastAsia" w:ascii="宋体" w:hAnsi="宋体"/>
                <w:szCs w:val="21"/>
              </w:rPr>
            </w:pPr>
          </w:p>
        </w:tc>
      </w:tr>
      <w:tr w14:paraId="3BC00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4392D652">
            <w:pPr>
              <w:jc w:val="center"/>
              <w:rPr>
                <w:rFonts w:hint="eastAsia" w:ascii="宋体" w:hAnsi="宋体"/>
                <w:szCs w:val="21"/>
              </w:rPr>
            </w:pPr>
            <w:r>
              <w:rPr>
                <w:rFonts w:hint="eastAsia" w:ascii="宋体" w:hAnsi="宋体"/>
                <w:szCs w:val="21"/>
                <w:lang w:bidi="ar"/>
              </w:rPr>
              <w:t>7</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0BF8826C">
            <w:pPr>
              <w:ind w:firstLine="480"/>
              <w:jc w:val="center"/>
              <w:rPr>
                <w:rFonts w:hint="eastAsia" w:ascii="宋体" w:hAnsi="宋体"/>
                <w:szCs w:val="21"/>
              </w:rPr>
            </w:pPr>
            <w:r>
              <w:rPr>
                <w:rFonts w:hint="eastAsia" w:ascii="宋体" w:hAnsi="宋体"/>
                <w:szCs w:val="21"/>
                <w:lang w:bidi="ar"/>
              </w:rPr>
              <w:t>P</w:t>
            </w:r>
            <w:r>
              <w:rPr>
                <w:rFonts w:hint="eastAsia" w:ascii="宋体" w:hAnsi="宋体" w:cs="宋体"/>
                <w:szCs w:val="21"/>
                <w:lang w:bidi="ar"/>
              </w:rPr>
              <w:t>E给水管、U</w:t>
            </w:r>
            <w:r>
              <w:rPr>
                <w:rFonts w:hint="eastAsia" w:ascii="宋体" w:hAnsi="宋体"/>
                <w:szCs w:val="21"/>
                <w:lang w:bidi="ar"/>
              </w:rPr>
              <w:t>PVC</w:t>
            </w:r>
            <w:r>
              <w:rPr>
                <w:rFonts w:hint="eastAsia" w:ascii="宋体" w:hAnsi="宋体" w:cs="宋体"/>
                <w:szCs w:val="21"/>
                <w:lang w:bidi="ar"/>
              </w:rPr>
              <w:t>排水管</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333ECDFE">
            <w:pPr>
              <w:ind w:firstLine="480"/>
              <w:jc w:val="center"/>
              <w:rPr>
                <w:rFonts w:hint="eastAsia" w:ascii="宋体" w:hAnsi="宋体"/>
                <w:szCs w:val="21"/>
              </w:rPr>
            </w:pPr>
            <w:r>
              <w:rPr>
                <w:rFonts w:hint="eastAsia" w:ascii="宋体" w:hAnsi="宋体" w:cs="宋体"/>
                <w:szCs w:val="21"/>
                <w:lang w:bidi="ar"/>
              </w:rPr>
              <w:t>中财、联塑、日丰</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3DC5675F">
            <w:pPr>
              <w:jc w:val="center"/>
              <w:rPr>
                <w:rFonts w:hint="eastAsia" w:ascii="宋体" w:hAnsi="宋体"/>
                <w:szCs w:val="21"/>
              </w:rPr>
            </w:pPr>
          </w:p>
        </w:tc>
      </w:tr>
      <w:tr w14:paraId="4BE88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1266C315">
            <w:pPr>
              <w:jc w:val="center"/>
              <w:rPr>
                <w:rFonts w:hint="eastAsia" w:ascii="宋体" w:hAnsi="宋体"/>
                <w:szCs w:val="21"/>
              </w:rPr>
            </w:pPr>
            <w:r>
              <w:rPr>
                <w:rFonts w:hint="eastAsia" w:ascii="宋体" w:hAnsi="宋体"/>
                <w:szCs w:val="21"/>
                <w:lang w:bidi="ar"/>
              </w:rPr>
              <w:t>8</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4E6CD4EC">
            <w:pPr>
              <w:jc w:val="center"/>
              <w:rPr>
                <w:rFonts w:hint="eastAsia" w:ascii="宋体" w:hAnsi="宋体"/>
                <w:szCs w:val="21"/>
              </w:rPr>
            </w:pPr>
            <w:r>
              <w:rPr>
                <w:rFonts w:hint="eastAsia" w:ascii="宋体" w:hAnsi="宋体" w:cs="宋体"/>
                <w:szCs w:val="21"/>
                <w:lang w:bidi="ar"/>
              </w:rPr>
              <w:t>阀门</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5B5D0D38">
            <w:pPr>
              <w:ind w:firstLine="480"/>
              <w:jc w:val="center"/>
              <w:rPr>
                <w:rFonts w:hint="eastAsia" w:ascii="宋体" w:hAnsi="宋体"/>
                <w:szCs w:val="21"/>
              </w:rPr>
            </w:pPr>
            <w:r>
              <w:rPr>
                <w:rFonts w:hint="eastAsia" w:ascii="宋体" w:hAnsi="宋体" w:cs="宋体"/>
                <w:szCs w:val="21"/>
                <w:lang w:bidi="ar"/>
              </w:rPr>
              <w:t>纽威、中核苏阀、斯派莎克、冠龙、良工</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3C210EE7">
            <w:pPr>
              <w:jc w:val="center"/>
              <w:rPr>
                <w:rFonts w:hint="eastAsia" w:ascii="宋体" w:hAnsi="宋体"/>
                <w:szCs w:val="21"/>
              </w:rPr>
            </w:pPr>
          </w:p>
        </w:tc>
      </w:tr>
      <w:tr w14:paraId="7254A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513BB9E6">
            <w:pPr>
              <w:jc w:val="center"/>
              <w:rPr>
                <w:rFonts w:hint="eastAsia" w:ascii="宋体" w:hAnsi="宋体"/>
                <w:szCs w:val="21"/>
              </w:rPr>
            </w:pPr>
            <w:r>
              <w:rPr>
                <w:rFonts w:hint="eastAsia" w:ascii="宋体" w:hAnsi="宋体"/>
                <w:szCs w:val="21"/>
                <w:lang w:bidi="ar"/>
              </w:rPr>
              <w:t>9</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445FAC6F">
            <w:pPr>
              <w:ind w:firstLine="480"/>
              <w:jc w:val="center"/>
              <w:rPr>
                <w:rFonts w:hint="eastAsia" w:ascii="宋体" w:hAnsi="宋体"/>
                <w:szCs w:val="21"/>
              </w:rPr>
            </w:pPr>
            <w:r>
              <w:rPr>
                <w:rFonts w:hint="eastAsia" w:ascii="宋体" w:hAnsi="宋体" w:cs="宋体"/>
                <w:szCs w:val="21"/>
                <w:lang w:bidi="ar"/>
              </w:rPr>
              <w:t>水泵、废水提升装置</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29454F0A">
            <w:pPr>
              <w:ind w:firstLine="480"/>
              <w:jc w:val="center"/>
              <w:rPr>
                <w:rFonts w:hint="eastAsia" w:ascii="宋体" w:hAnsi="宋体"/>
                <w:szCs w:val="21"/>
              </w:rPr>
            </w:pPr>
            <w:r>
              <w:rPr>
                <w:rFonts w:hint="eastAsia" w:ascii="宋体" w:hAnsi="宋体" w:cs="宋体"/>
                <w:szCs w:val="21"/>
                <w:lang w:bidi="ar"/>
              </w:rPr>
              <w:t>格兰富、威乐、凯泉、熊猫</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3062B8C5">
            <w:pPr>
              <w:jc w:val="center"/>
              <w:rPr>
                <w:rFonts w:hint="eastAsia" w:ascii="宋体" w:hAnsi="宋体"/>
                <w:szCs w:val="21"/>
              </w:rPr>
            </w:pPr>
          </w:p>
        </w:tc>
      </w:tr>
      <w:tr w14:paraId="24D59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56FDB76E">
            <w:pPr>
              <w:jc w:val="center"/>
              <w:rPr>
                <w:rFonts w:hint="eastAsia" w:ascii="宋体" w:hAnsi="宋体"/>
                <w:szCs w:val="21"/>
              </w:rPr>
            </w:pPr>
            <w:r>
              <w:rPr>
                <w:rFonts w:hint="eastAsia" w:ascii="宋体" w:hAnsi="宋体"/>
                <w:szCs w:val="21"/>
                <w:lang w:bidi="ar"/>
              </w:rPr>
              <w:t>10</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0DE075C5">
            <w:pPr>
              <w:jc w:val="center"/>
              <w:rPr>
                <w:rFonts w:hint="eastAsia" w:ascii="宋体" w:hAnsi="宋体"/>
                <w:szCs w:val="21"/>
              </w:rPr>
            </w:pPr>
            <w:r>
              <w:rPr>
                <w:rFonts w:hint="eastAsia" w:ascii="宋体" w:hAnsi="宋体" w:cs="宋体"/>
                <w:szCs w:val="21"/>
                <w:lang w:bidi="ar"/>
              </w:rPr>
              <w:t>镀锌风管用钢板</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14275D3E">
            <w:pPr>
              <w:ind w:firstLine="480"/>
              <w:jc w:val="center"/>
              <w:rPr>
                <w:rFonts w:hint="eastAsia" w:ascii="宋体" w:hAnsi="宋体"/>
                <w:szCs w:val="21"/>
              </w:rPr>
            </w:pPr>
            <w:r>
              <w:rPr>
                <w:rFonts w:hint="eastAsia" w:ascii="宋体" w:hAnsi="宋体" w:cs="宋体"/>
                <w:szCs w:val="21"/>
                <w:lang w:bidi="ar"/>
              </w:rPr>
              <w:t>宝钢、武钢、沙钢、马钢</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4688FAF5">
            <w:pPr>
              <w:jc w:val="center"/>
              <w:rPr>
                <w:rFonts w:hint="eastAsia" w:ascii="宋体" w:hAnsi="宋体"/>
                <w:szCs w:val="21"/>
              </w:rPr>
            </w:pPr>
          </w:p>
        </w:tc>
      </w:tr>
      <w:tr w14:paraId="555C3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71F976A0">
            <w:pPr>
              <w:jc w:val="center"/>
              <w:rPr>
                <w:rFonts w:hint="eastAsia" w:ascii="宋体" w:hAnsi="宋体"/>
                <w:szCs w:val="21"/>
              </w:rPr>
            </w:pPr>
            <w:r>
              <w:rPr>
                <w:rFonts w:hint="eastAsia" w:ascii="宋体" w:hAnsi="宋体"/>
                <w:szCs w:val="21"/>
                <w:lang w:bidi="ar"/>
              </w:rPr>
              <w:t>11</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3F1CE0C3">
            <w:pPr>
              <w:jc w:val="center"/>
              <w:rPr>
                <w:rFonts w:hint="eastAsia" w:ascii="宋体" w:hAnsi="宋体"/>
                <w:szCs w:val="21"/>
              </w:rPr>
            </w:pPr>
            <w:r>
              <w:rPr>
                <w:rFonts w:hint="eastAsia" w:ascii="宋体" w:hAnsi="宋体" w:cs="宋体"/>
                <w:szCs w:val="21"/>
                <w:lang w:bidi="ar"/>
              </w:rPr>
              <w:t>高效过滤器</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1780961F">
            <w:pPr>
              <w:ind w:firstLine="480"/>
              <w:jc w:val="center"/>
              <w:rPr>
                <w:rFonts w:hint="eastAsia" w:ascii="宋体" w:hAnsi="宋体"/>
                <w:szCs w:val="21"/>
              </w:rPr>
            </w:pPr>
            <w:r>
              <w:rPr>
                <w:rFonts w:hint="eastAsia" w:ascii="宋体" w:hAnsi="宋体" w:cs="宋体"/>
                <w:szCs w:val="21"/>
                <w:lang w:bidi="ar"/>
              </w:rPr>
              <w:t>小尼熊、安美瑞、艾泊特、苏净，康斐尔，A</w:t>
            </w:r>
            <w:r>
              <w:rPr>
                <w:rFonts w:hint="eastAsia" w:ascii="宋体" w:hAnsi="宋体"/>
                <w:szCs w:val="21"/>
                <w:lang w:bidi="ar"/>
              </w:rPr>
              <w:t>AF</w:t>
            </w:r>
            <w:r>
              <w:rPr>
                <w:rFonts w:hint="eastAsia" w:ascii="宋体" w:hAnsi="宋体" w:cs="宋体"/>
                <w:szCs w:val="21"/>
                <w:lang w:bidi="ar"/>
              </w:rPr>
              <w:t xml:space="preserve"> 、柏本、基维亚、零界</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40326B54">
            <w:pPr>
              <w:jc w:val="center"/>
              <w:rPr>
                <w:rFonts w:hint="eastAsia" w:ascii="宋体" w:hAnsi="宋体"/>
                <w:szCs w:val="21"/>
              </w:rPr>
            </w:pPr>
          </w:p>
        </w:tc>
      </w:tr>
      <w:tr w14:paraId="6E1AB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02E68B79">
            <w:pPr>
              <w:jc w:val="center"/>
              <w:rPr>
                <w:rFonts w:hint="eastAsia" w:ascii="宋体" w:hAnsi="宋体"/>
                <w:szCs w:val="21"/>
              </w:rPr>
            </w:pPr>
            <w:r>
              <w:rPr>
                <w:rFonts w:hint="eastAsia" w:ascii="宋体" w:hAnsi="宋体" w:cs="宋体"/>
                <w:szCs w:val="21"/>
                <w:lang w:bidi="ar"/>
              </w:rPr>
              <w:t>1</w:t>
            </w:r>
            <w:r>
              <w:rPr>
                <w:rFonts w:hint="eastAsia" w:ascii="宋体" w:hAnsi="宋体"/>
                <w:szCs w:val="21"/>
                <w:lang w:bidi="ar"/>
              </w:rPr>
              <w:t>2</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4C9434A1">
            <w:pPr>
              <w:jc w:val="center"/>
              <w:rPr>
                <w:rFonts w:hint="eastAsia" w:ascii="宋体" w:hAnsi="宋体"/>
                <w:szCs w:val="21"/>
              </w:rPr>
            </w:pPr>
            <w:r>
              <w:rPr>
                <w:rFonts w:hint="eastAsia" w:ascii="宋体" w:hAnsi="宋体" w:cs="宋体"/>
                <w:szCs w:val="21"/>
                <w:lang w:bidi="ar"/>
              </w:rPr>
              <w:t>温度计、压力表</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607DF6D8">
            <w:pPr>
              <w:ind w:firstLine="480"/>
              <w:jc w:val="center"/>
              <w:rPr>
                <w:rFonts w:hint="eastAsia" w:ascii="宋体" w:hAnsi="宋体"/>
                <w:szCs w:val="21"/>
              </w:rPr>
            </w:pPr>
            <w:r>
              <w:rPr>
                <w:rFonts w:hint="eastAsia" w:ascii="宋体" w:hAnsi="宋体" w:cs="宋体"/>
                <w:szCs w:val="21"/>
                <w:lang w:bidi="ar"/>
              </w:rPr>
              <w:t>上仪、圣科、博讯</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6BEE1D52">
            <w:pPr>
              <w:jc w:val="center"/>
              <w:rPr>
                <w:rFonts w:hint="eastAsia" w:ascii="宋体" w:hAnsi="宋体"/>
                <w:szCs w:val="21"/>
              </w:rPr>
            </w:pPr>
          </w:p>
        </w:tc>
      </w:tr>
      <w:tr w14:paraId="0252C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1196CBBA">
            <w:pPr>
              <w:jc w:val="center"/>
              <w:rPr>
                <w:rFonts w:hint="eastAsia" w:ascii="宋体" w:hAnsi="宋体"/>
                <w:szCs w:val="21"/>
              </w:rPr>
            </w:pPr>
            <w:r>
              <w:rPr>
                <w:rFonts w:hint="eastAsia" w:ascii="宋体" w:hAnsi="宋体" w:cs="宋体"/>
                <w:szCs w:val="21"/>
                <w:lang w:bidi="ar"/>
              </w:rPr>
              <w:t>13</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0612A5FE">
            <w:pPr>
              <w:jc w:val="center"/>
              <w:rPr>
                <w:rFonts w:hint="eastAsia" w:ascii="宋体" w:hAnsi="宋体"/>
                <w:szCs w:val="21"/>
              </w:rPr>
            </w:pPr>
            <w:r>
              <w:rPr>
                <w:rFonts w:hint="eastAsia" w:ascii="宋体" w:hAnsi="宋体" w:cs="宋体"/>
                <w:szCs w:val="21"/>
                <w:lang w:bidi="ar"/>
              </w:rPr>
              <w:t>消火栓箱、灭火器、消防阀门</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44FE0107">
            <w:pPr>
              <w:ind w:firstLine="480"/>
              <w:jc w:val="center"/>
              <w:rPr>
                <w:rFonts w:hint="eastAsia" w:ascii="宋体" w:hAnsi="宋体"/>
                <w:szCs w:val="21"/>
              </w:rPr>
            </w:pPr>
            <w:r>
              <w:rPr>
                <w:rFonts w:hint="eastAsia" w:ascii="宋体" w:hAnsi="宋体" w:cs="宋体"/>
                <w:szCs w:val="21"/>
                <w:lang w:bidi="ar"/>
              </w:rPr>
              <w:t>具备消防产品认证</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592AD30A">
            <w:pPr>
              <w:jc w:val="center"/>
              <w:rPr>
                <w:rFonts w:hint="eastAsia" w:ascii="宋体" w:hAnsi="宋体"/>
                <w:szCs w:val="21"/>
              </w:rPr>
            </w:pPr>
          </w:p>
        </w:tc>
      </w:tr>
      <w:tr w14:paraId="7D7CC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162E9C54">
            <w:pPr>
              <w:jc w:val="center"/>
              <w:rPr>
                <w:rFonts w:hint="eastAsia" w:ascii="宋体" w:hAnsi="宋体" w:cs="宋体"/>
                <w:szCs w:val="21"/>
                <w:lang w:bidi="ar"/>
              </w:rPr>
            </w:pPr>
            <w:r>
              <w:rPr>
                <w:rFonts w:hint="eastAsia" w:ascii="宋体" w:hAnsi="宋体" w:cs="宋体"/>
                <w:szCs w:val="21"/>
                <w:lang w:bidi="ar"/>
              </w:rPr>
              <w:t>14</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2688D776">
            <w:pPr>
              <w:jc w:val="center"/>
              <w:rPr>
                <w:rFonts w:hint="eastAsia" w:ascii="宋体" w:hAnsi="宋体" w:cs="宋体"/>
                <w:szCs w:val="21"/>
                <w:lang w:bidi="ar"/>
              </w:rPr>
            </w:pPr>
            <w:r>
              <w:rPr>
                <w:rFonts w:ascii="仿宋" w:hAnsi="仿宋" w:eastAsia="仿宋" w:cs="仿宋"/>
                <w:sz w:val="24"/>
                <w:lang w:bidi="ar"/>
              </w:rPr>
              <w:t>卫生洁具</w:t>
            </w:r>
          </w:p>
        </w:tc>
        <w:tc>
          <w:tcPr>
            <w:tcW w:w="2171" w:type="pct"/>
            <w:tcBorders>
              <w:top w:val="single" w:color="auto" w:sz="4" w:space="0"/>
              <w:left w:val="single" w:color="auto" w:sz="4" w:space="0"/>
              <w:bottom w:val="single" w:color="auto" w:sz="4" w:space="0"/>
              <w:right w:val="single" w:color="auto" w:sz="4" w:space="0"/>
            </w:tcBorders>
            <w:shd w:val="clear" w:color="auto" w:fill="auto"/>
            <w:vAlign w:val="center"/>
          </w:tcPr>
          <w:p w14:paraId="20FDD231">
            <w:pPr>
              <w:ind w:firstLine="480"/>
              <w:jc w:val="center"/>
              <w:rPr>
                <w:rFonts w:hint="eastAsia" w:ascii="宋体" w:hAnsi="宋体" w:cs="宋体"/>
                <w:szCs w:val="21"/>
                <w:lang w:bidi="ar"/>
              </w:rPr>
            </w:pPr>
            <w:r>
              <w:rPr>
                <w:rFonts w:ascii="仿宋" w:hAnsi="仿宋" w:eastAsia="仿宋" w:cs="仿宋"/>
                <w:sz w:val="24"/>
                <w:lang w:bidi="ar"/>
              </w:rPr>
              <w:t>TOTO、科勒、美标</w:t>
            </w:r>
          </w:p>
        </w:tc>
        <w:tc>
          <w:tcPr>
            <w:tcW w:w="891" w:type="pct"/>
            <w:tcBorders>
              <w:top w:val="single" w:color="auto" w:sz="4" w:space="0"/>
              <w:left w:val="single" w:color="auto" w:sz="4" w:space="0"/>
              <w:bottom w:val="single" w:color="auto" w:sz="4" w:space="0"/>
              <w:right w:val="single" w:color="auto" w:sz="4" w:space="0"/>
            </w:tcBorders>
            <w:shd w:val="clear" w:color="auto" w:fill="auto"/>
            <w:vAlign w:val="center"/>
          </w:tcPr>
          <w:p w14:paraId="357F4F22">
            <w:pPr>
              <w:jc w:val="center"/>
              <w:rPr>
                <w:rFonts w:hint="eastAsia" w:ascii="宋体" w:hAnsi="宋体"/>
                <w:szCs w:val="21"/>
              </w:rPr>
            </w:pPr>
          </w:p>
        </w:tc>
      </w:tr>
      <w:tr w14:paraId="20767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725B7D89">
            <w:pPr>
              <w:jc w:val="center"/>
              <w:rPr>
                <w:rFonts w:hint="eastAsia" w:ascii="宋体" w:hAnsi="宋体"/>
                <w:szCs w:val="21"/>
              </w:rPr>
            </w:pPr>
          </w:p>
        </w:tc>
      </w:tr>
      <w:tr w14:paraId="50E29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0B9F88DD">
            <w:pPr>
              <w:jc w:val="center"/>
              <w:rPr>
                <w:rFonts w:hint="eastAsia" w:ascii="宋体" w:hAnsi="宋体"/>
                <w:szCs w:val="21"/>
              </w:rPr>
            </w:pPr>
            <w:r>
              <w:rPr>
                <w:rFonts w:hint="eastAsia" w:ascii="宋体" w:hAnsi="宋体" w:cs="宋体"/>
                <w:szCs w:val="21"/>
                <w:lang w:bidi="ar"/>
              </w:rPr>
              <w:t>其他</w:t>
            </w:r>
          </w:p>
        </w:tc>
        <w:tc>
          <w:tcPr>
            <w:tcW w:w="1583" w:type="pct"/>
            <w:tcBorders>
              <w:top w:val="single" w:color="auto" w:sz="4" w:space="0"/>
              <w:left w:val="single" w:color="auto" w:sz="4" w:space="0"/>
              <w:bottom w:val="single" w:color="auto" w:sz="4" w:space="0"/>
              <w:right w:val="single" w:color="auto" w:sz="4" w:space="0"/>
            </w:tcBorders>
            <w:shd w:val="clear" w:color="auto" w:fill="auto"/>
            <w:vAlign w:val="center"/>
          </w:tcPr>
          <w:p w14:paraId="0C42E8E5">
            <w:pPr>
              <w:jc w:val="center"/>
              <w:rPr>
                <w:rFonts w:hint="eastAsia" w:ascii="宋体" w:hAnsi="宋体"/>
                <w:szCs w:val="21"/>
              </w:rPr>
            </w:pPr>
            <w:r>
              <w:rPr>
                <w:rFonts w:ascii="仿宋" w:hAnsi="仿宋" w:eastAsia="仿宋" w:cs="仿宋"/>
                <w:sz w:val="24"/>
                <w:lang w:bidi="ar"/>
              </w:rPr>
              <w:t>其它未列明的材料要求</w:t>
            </w:r>
          </w:p>
        </w:tc>
        <w:tc>
          <w:tcPr>
            <w:tcW w:w="3062"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46BE2B8D">
            <w:pPr>
              <w:jc w:val="center"/>
              <w:rPr>
                <w:rFonts w:hint="default" w:ascii="宋体" w:hAnsi="宋体" w:eastAsiaTheme="minorEastAsia"/>
                <w:szCs w:val="21"/>
                <w:lang w:val="en-US" w:eastAsia="zh-CN"/>
              </w:rPr>
            </w:pPr>
            <w:r>
              <w:rPr>
                <w:rFonts w:hint="eastAsia" w:ascii="仿宋" w:hAnsi="仿宋" w:eastAsia="仿宋" w:cs="仿宋"/>
                <w:sz w:val="24"/>
                <w:lang w:val="en-US" w:eastAsia="zh-CN" w:bidi="ar"/>
              </w:rPr>
              <w:t>采用国产知名优质品牌</w:t>
            </w:r>
          </w:p>
        </w:tc>
      </w:tr>
      <w:tr w14:paraId="08C38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3396846C">
            <w:pPr>
              <w:spacing w:line="273" w:lineRule="auto"/>
              <w:jc w:val="left"/>
              <w:rPr>
                <w:rFonts w:hint="eastAsia" w:ascii="宋体" w:hAnsi="宋体"/>
                <w:szCs w:val="21"/>
              </w:rPr>
            </w:pPr>
            <w:r>
              <w:rPr>
                <w:rFonts w:hint="eastAsia" w:ascii="宋体" w:hAnsi="宋体" w:cs="宋体"/>
                <w:szCs w:val="21"/>
                <w:lang w:bidi="ar"/>
              </w:rPr>
              <w:t>备注：</w:t>
            </w:r>
          </w:p>
          <w:p w14:paraId="43D434DA">
            <w:pPr>
              <w:spacing w:line="273" w:lineRule="auto"/>
              <w:jc w:val="left"/>
              <w:rPr>
                <w:rFonts w:hint="eastAsia" w:ascii="宋体" w:hAnsi="宋体"/>
                <w:szCs w:val="21"/>
              </w:rPr>
            </w:pPr>
            <w:r>
              <w:rPr>
                <w:rFonts w:hint="eastAsia" w:ascii="宋体" w:hAnsi="宋体" w:cs="宋体"/>
                <w:szCs w:val="21"/>
                <w:lang w:bidi="ar"/>
              </w:rPr>
              <w:t>1.电线电缆采用远东品牌，乙供。</w:t>
            </w:r>
          </w:p>
          <w:p w14:paraId="42C3C210">
            <w:pPr>
              <w:spacing w:line="273" w:lineRule="auto"/>
              <w:jc w:val="left"/>
              <w:rPr>
                <w:rFonts w:hint="eastAsia" w:ascii="宋体" w:hAnsi="宋体"/>
                <w:szCs w:val="21"/>
              </w:rPr>
            </w:pPr>
            <w:r>
              <w:rPr>
                <w:rFonts w:hint="eastAsia" w:ascii="宋体" w:hAnsi="宋体" w:cs="宋体"/>
                <w:szCs w:val="21"/>
                <w:lang w:bidi="ar"/>
              </w:rPr>
              <w:t>2.品牌要求：品牌库以外的须具备相同或大于品牌库清单中的品质，乙方均需送样后经甲方确认后方可使用；如未经甲方确认，私自进场乙方将承担5000元/次的违约金。</w:t>
            </w:r>
          </w:p>
          <w:p w14:paraId="1B1173C8">
            <w:pPr>
              <w:spacing w:line="273" w:lineRule="auto"/>
              <w:jc w:val="left"/>
              <w:rPr>
                <w:rFonts w:hint="eastAsia" w:ascii="宋体" w:hAnsi="宋体"/>
                <w:szCs w:val="21"/>
              </w:rPr>
            </w:pPr>
            <w:r>
              <w:rPr>
                <w:rFonts w:hint="eastAsia" w:ascii="宋体" w:hAnsi="宋体" w:cs="宋体"/>
                <w:szCs w:val="21"/>
                <w:lang w:bidi="ar"/>
              </w:rPr>
              <w:t>3</w:t>
            </w:r>
            <w:r>
              <w:rPr>
                <w:rFonts w:hint="eastAsia" w:ascii="宋体" w:hAnsi="宋体"/>
                <w:szCs w:val="21"/>
                <w:lang w:bidi="ar"/>
              </w:rPr>
              <w:t>.</w:t>
            </w:r>
            <w:r>
              <w:rPr>
                <w:rFonts w:hint="eastAsia" w:ascii="宋体" w:hAnsi="宋体" w:cs="宋体"/>
                <w:szCs w:val="21"/>
                <w:lang w:bidi="ar"/>
              </w:rPr>
              <w:t>施工单位选用上述产品材料需保证采用品牌厂家，禁止使用品牌内代工及贴牌产品。</w:t>
            </w:r>
          </w:p>
        </w:tc>
      </w:tr>
    </w:tbl>
    <w:p w14:paraId="4B617564">
      <w:pPr>
        <w:spacing w:line="360" w:lineRule="auto"/>
        <w:rPr>
          <w:rFonts w:hint="eastAsia" w:ascii="微软雅黑" w:hAnsi="微软雅黑" w:eastAsia="微软雅黑"/>
        </w:rPr>
      </w:pPr>
    </w:p>
    <w:p w14:paraId="3E0A837F">
      <w:pPr>
        <w:spacing w:line="420" w:lineRule="exact"/>
        <w:ind w:firstLine="420" w:firstLineChars="0"/>
        <w:jc w:val="left"/>
        <w:rPr>
          <w:rFonts w:hint="eastAsia" w:asciiTheme="minorEastAsia" w:hAnsiTheme="minorEastAsia" w:eastAsiaTheme="minorEastAsia" w:cstheme="minorEastAsia"/>
          <w:szCs w:val="21"/>
          <w:lang w:val="en-US" w:eastAsia="zh-CN" w:bidi="ar-SA"/>
        </w:rPr>
      </w:pPr>
      <w:r>
        <w:rPr>
          <w:rFonts w:hint="eastAsia" w:asciiTheme="minorEastAsia" w:hAnsiTheme="minorEastAsia" w:eastAsiaTheme="minorEastAsia" w:cstheme="minorEastAsia"/>
          <w:szCs w:val="21"/>
          <w:lang w:val="en-US" w:eastAsia="zh-CN" w:bidi="ar-SA"/>
        </w:rPr>
        <w:t>4.2投标人投标时应在上述主要材料品牌表范围内，在投标文件主要材料情况表（品牌响应表）中注明选定的品牌和型号。</w:t>
      </w:r>
    </w:p>
    <w:p w14:paraId="27F44041">
      <w:pPr>
        <w:spacing w:line="420" w:lineRule="exact"/>
        <w:ind w:firstLine="420" w:firstLineChars="0"/>
        <w:jc w:val="left"/>
        <w:rPr>
          <w:rFonts w:hint="eastAsia" w:asciiTheme="minorEastAsia" w:hAnsiTheme="minorEastAsia" w:eastAsiaTheme="minorEastAsia" w:cstheme="minorEastAsia"/>
          <w:szCs w:val="21"/>
          <w:lang w:val="en-US" w:eastAsia="zh-CN" w:bidi="ar-SA"/>
        </w:rPr>
      </w:pPr>
      <w:r>
        <w:rPr>
          <w:rFonts w:hint="eastAsia" w:asciiTheme="minorEastAsia" w:hAnsiTheme="minorEastAsia" w:eastAsiaTheme="minorEastAsia" w:cstheme="minorEastAsia"/>
          <w:szCs w:val="21"/>
          <w:lang w:val="en-US" w:eastAsia="zh-CN" w:bidi="ar-SA"/>
        </w:rPr>
        <w:t>4.3投标人应预计上述各种品牌和型号产品之间的价格差异，工程实施时由中标人按其中标报价进行包干。一旦招标人最终选定的产品与中标人的上述材料报价产生差价，其差价由中标人承担。</w:t>
      </w:r>
    </w:p>
    <w:p w14:paraId="5B1AFAAD">
      <w:pPr>
        <w:spacing w:line="420" w:lineRule="exact"/>
        <w:ind w:firstLine="420" w:firstLineChars="0"/>
        <w:jc w:val="left"/>
        <w:rPr>
          <w:rFonts w:hint="eastAsia" w:asciiTheme="minorEastAsia" w:hAnsiTheme="minorEastAsia" w:eastAsiaTheme="minorEastAsia" w:cstheme="minorEastAsia"/>
          <w:szCs w:val="21"/>
          <w:lang w:val="en-US" w:eastAsia="zh-CN" w:bidi="ar-SA"/>
        </w:rPr>
      </w:pPr>
      <w:r>
        <w:rPr>
          <w:rFonts w:hint="eastAsia" w:asciiTheme="minorEastAsia" w:hAnsiTheme="minorEastAsia" w:eastAsiaTheme="minorEastAsia" w:cstheme="minorEastAsia"/>
          <w:szCs w:val="21"/>
          <w:lang w:val="en-US" w:eastAsia="zh-CN" w:bidi="ar-SA"/>
        </w:rPr>
        <w:t>4.4其余未指定品牌的材料或设备需选用国内一线品牌，且在采购前需报样品送业主单位审核，经业主单位同意后方可购买。</w:t>
      </w:r>
    </w:p>
    <w:p w14:paraId="090A1BC3">
      <w:pPr>
        <w:numPr>
          <w:ilvl w:val="0"/>
          <w:numId w:val="0"/>
        </w:numPr>
        <w:spacing w:line="360" w:lineRule="auto"/>
        <w:ind w:leftChars="0"/>
        <w:outlineLvl w:val="2"/>
        <w:rPr>
          <w:rFonts w:hint="eastAsia" w:ascii="等线" w:hAnsi="等线" w:eastAsia="等线"/>
          <w:b/>
          <w:bCs/>
          <w:color w:val="0070C0"/>
          <w:szCs w:val="21"/>
          <w:lang w:val="en-US" w:eastAsia="zh-CN" w:bidi="ar-SA"/>
        </w:rPr>
      </w:pPr>
      <w:bookmarkStart w:id="15" w:name="_Toc2077549853"/>
      <w:r>
        <w:rPr>
          <w:rFonts w:hint="eastAsia" w:ascii="等线" w:hAnsi="等线" w:eastAsia="等线"/>
          <w:b/>
          <w:bCs/>
          <w:color w:val="0070C0"/>
          <w:szCs w:val="21"/>
          <w:lang w:val="en-US" w:eastAsia="zh-CN" w:bidi="ar-SA"/>
        </w:rPr>
        <w:t>五、合同工程质量和验收标准</w:t>
      </w:r>
      <w:bookmarkEnd w:id="15"/>
    </w:p>
    <w:p w14:paraId="27C48F4B">
      <w:pPr>
        <w:spacing w:line="420" w:lineRule="exact"/>
        <w:ind w:firstLine="420" w:firstLineChars="0"/>
        <w:jc w:val="left"/>
        <w:rPr>
          <w:rFonts w:hint="eastAsia" w:asciiTheme="minorEastAsia" w:hAnsiTheme="minorEastAsia" w:eastAsiaTheme="minorEastAsia" w:cstheme="minorEastAsia"/>
          <w:szCs w:val="21"/>
          <w:lang w:val="en-US" w:eastAsia="zh-CN" w:bidi="ar-SA"/>
        </w:rPr>
      </w:pPr>
      <w:r>
        <w:rPr>
          <w:rFonts w:hint="eastAsia" w:asciiTheme="minorEastAsia" w:hAnsiTheme="minorEastAsia" w:eastAsiaTheme="minorEastAsia" w:cstheme="minorEastAsia"/>
          <w:szCs w:val="21"/>
          <w:lang w:val="en-US" w:eastAsia="zh-CN" w:bidi="ar-SA"/>
        </w:rPr>
        <w:t>5.1合同工程施工质量和验收标准将参照相关标准及规范；</w:t>
      </w:r>
    </w:p>
    <w:p w14:paraId="351B13CE">
      <w:pPr>
        <w:spacing w:line="420" w:lineRule="exact"/>
        <w:ind w:firstLine="420" w:firstLineChars="0"/>
        <w:jc w:val="left"/>
        <w:rPr>
          <w:rFonts w:hint="eastAsia" w:asciiTheme="minorEastAsia" w:hAnsiTheme="minorEastAsia" w:eastAsiaTheme="minorEastAsia" w:cstheme="minorEastAsia"/>
          <w:szCs w:val="21"/>
          <w:lang w:val="en-US" w:eastAsia="zh-CN" w:bidi="ar-SA"/>
        </w:rPr>
      </w:pPr>
      <w:r>
        <w:rPr>
          <w:rFonts w:hint="eastAsia" w:asciiTheme="minorEastAsia" w:hAnsiTheme="minorEastAsia" w:eastAsiaTheme="minorEastAsia" w:cstheme="minorEastAsia"/>
          <w:szCs w:val="21"/>
          <w:lang w:val="en-US" w:eastAsia="zh-CN" w:bidi="ar-SA"/>
        </w:rPr>
        <w:t>5.2乙方严格按照甲方提供的施工图纸与技术文件要求组织施工，确保工程质量，在施工中如因乙方未严格按照规范要求施工，导致发生质量事故，其损失和责任由乙方承担。</w:t>
      </w:r>
    </w:p>
    <w:p w14:paraId="44D6DC08">
      <w:pPr>
        <w:spacing w:line="420" w:lineRule="exact"/>
        <w:ind w:firstLine="420" w:firstLineChars="0"/>
        <w:jc w:val="left"/>
        <w:rPr>
          <w:rFonts w:hint="eastAsia" w:asciiTheme="minorEastAsia" w:hAnsiTheme="minorEastAsia" w:eastAsiaTheme="minorEastAsia" w:cstheme="minorEastAsia"/>
          <w:szCs w:val="21"/>
          <w:lang w:val="en-US" w:eastAsia="zh-CN" w:bidi="ar-SA"/>
        </w:rPr>
      </w:pPr>
      <w:r>
        <w:rPr>
          <w:rFonts w:hint="eastAsia" w:asciiTheme="minorEastAsia" w:hAnsiTheme="minorEastAsia" w:eastAsiaTheme="minorEastAsia" w:cstheme="minorEastAsia"/>
          <w:szCs w:val="21"/>
          <w:lang w:val="en-US" w:eastAsia="zh-CN" w:bidi="ar-SA"/>
        </w:rPr>
        <w:t>5.3工程具备隐蔽条件或达到中间验收条件，乙方自检合格后，需提前24小时以书面形式通知监理及甲方驻工地代表，经验收合格并由监理、甲方驻工地代表签字后方可进行后序施工。</w:t>
      </w:r>
    </w:p>
    <w:p w14:paraId="382FA299">
      <w:pPr>
        <w:spacing w:line="420" w:lineRule="exact"/>
        <w:ind w:firstLine="420" w:firstLineChars="0"/>
        <w:jc w:val="left"/>
        <w:rPr>
          <w:rFonts w:hint="eastAsia" w:asciiTheme="minorEastAsia" w:hAnsiTheme="minorEastAsia" w:eastAsiaTheme="minorEastAsia" w:cstheme="minorEastAsia"/>
          <w:szCs w:val="21"/>
          <w:lang w:val="en-US" w:eastAsia="zh-CN" w:bidi="ar-SA"/>
        </w:rPr>
      </w:pPr>
      <w:r>
        <w:rPr>
          <w:rFonts w:hint="eastAsia" w:asciiTheme="minorEastAsia" w:hAnsiTheme="minorEastAsia" w:eastAsiaTheme="minorEastAsia" w:cstheme="minorEastAsia"/>
          <w:szCs w:val="21"/>
          <w:lang w:val="en-US" w:eastAsia="zh-CN" w:bidi="ar-SA"/>
        </w:rPr>
        <w:t>5.4隐蔽工程需经监理、甲方验收合格后，乙方可进行后续施工，甲方验收不合格，乙方必须在限定时间内整改完成，经监理、甲方复验合格后方可继续下道工序施工。</w:t>
      </w:r>
    </w:p>
    <w:p w14:paraId="37141B87">
      <w:pPr>
        <w:spacing w:line="420" w:lineRule="exact"/>
        <w:ind w:firstLine="420" w:firstLineChars="0"/>
        <w:jc w:val="left"/>
        <w:rPr>
          <w:rFonts w:hint="eastAsia" w:asciiTheme="minorEastAsia" w:hAnsiTheme="minorEastAsia" w:eastAsiaTheme="minorEastAsia" w:cstheme="minorEastAsia"/>
          <w:szCs w:val="21"/>
          <w:lang w:val="en-US" w:eastAsia="zh-CN" w:bidi="ar-SA"/>
        </w:rPr>
      </w:pPr>
      <w:r>
        <w:rPr>
          <w:rFonts w:hint="eastAsia" w:asciiTheme="minorEastAsia" w:hAnsiTheme="minorEastAsia" w:eastAsiaTheme="minorEastAsia" w:cstheme="minorEastAsia"/>
          <w:szCs w:val="21"/>
          <w:lang w:val="en-US" w:eastAsia="zh-CN" w:bidi="ar-SA"/>
        </w:rPr>
        <w:t>5.5合同工程完工前10个工作日，由乙方正式通知甲方准备组织工程竣工验收。合同工程经甲、乙双方验收合格后，双方签具工程竣工验收单，正式移交给甲方管理。</w:t>
      </w:r>
    </w:p>
    <w:p w14:paraId="06ABF9A4">
      <w:pPr>
        <w:numPr>
          <w:ilvl w:val="0"/>
          <w:numId w:val="0"/>
        </w:numPr>
        <w:spacing w:line="360" w:lineRule="auto"/>
        <w:ind w:leftChars="0"/>
        <w:outlineLvl w:val="2"/>
        <w:rPr>
          <w:rFonts w:hint="eastAsia" w:ascii="等线" w:hAnsi="等线" w:eastAsia="等线"/>
          <w:b/>
          <w:bCs/>
          <w:color w:val="0070C0"/>
          <w:szCs w:val="21"/>
          <w:lang w:val="en-US" w:eastAsia="zh-CN" w:bidi="ar-SA"/>
        </w:rPr>
      </w:pPr>
      <w:bookmarkStart w:id="16" w:name="_Toc1454003062"/>
      <w:r>
        <w:rPr>
          <w:rFonts w:hint="eastAsia" w:ascii="等线" w:hAnsi="等线" w:eastAsia="等线"/>
          <w:b/>
          <w:bCs/>
          <w:color w:val="0070C0"/>
          <w:szCs w:val="21"/>
          <w:lang w:val="en-US" w:eastAsia="zh-CN" w:bidi="ar-SA"/>
        </w:rPr>
        <w:t>六、现场临时设施及配合管理</w:t>
      </w:r>
      <w:bookmarkEnd w:id="16"/>
    </w:p>
    <w:p w14:paraId="5630008E">
      <w:pPr>
        <w:spacing w:line="420" w:lineRule="exact"/>
        <w:ind w:firstLine="420" w:firstLineChars="0"/>
        <w:jc w:val="left"/>
        <w:rPr>
          <w:rFonts w:hint="eastAsia" w:asciiTheme="minorEastAsia" w:hAnsiTheme="minorEastAsia" w:eastAsiaTheme="minorEastAsia" w:cstheme="minorEastAsia"/>
          <w:szCs w:val="21"/>
          <w:lang w:val="en-US" w:eastAsia="zh-CN" w:bidi="ar-SA"/>
        </w:rPr>
      </w:pPr>
      <w:r>
        <w:rPr>
          <w:rFonts w:hint="eastAsia" w:asciiTheme="minorEastAsia" w:hAnsiTheme="minorEastAsia" w:eastAsiaTheme="minorEastAsia" w:cstheme="minorEastAsia"/>
          <w:szCs w:val="21"/>
          <w:lang w:val="en-US" w:eastAsia="zh-CN" w:bidi="ar-SA"/>
        </w:rPr>
        <w:t>6.1中标单位应无条件接受我司在施工进度、施工质量、安全文明、工程资料等方面的统一管理，进场后2天内和我司安环部门对接签订《安全生产协议书》，同时需配合远东工程、远东海缆办理入场手续。</w:t>
      </w:r>
    </w:p>
    <w:p w14:paraId="7EE5AEF2">
      <w:pPr>
        <w:spacing w:line="420" w:lineRule="exact"/>
        <w:ind w:firstLine="420" w:firstLineChars="0"/>
        <w:jc w:val="left"/>
        <w:rPr>
          <w:rFonts w:hint="eastAsia" w:asciiTheme="minorEastAsia" w:hAnsiTheme="minorEastAsia" w:eastAsiaTheme="minorEastAsia" w:cstheme="minorEastAsia"/>
          <w:szCs w:val="21"/>
          <w:lang w:val="en-US" w:eastAsia="zh-CN" w:bidi="ar-SA"/>
        </w:rPr>
      </w:pPr>
      <w:r>
        <w:rPr>
          <w:rFonts w:hint="eastAsia" w:asciiTheme="minorEastAsia" w:hAnsiTheme="minorEastAsia" w:eastAsiaTheme="minorEastAsia" w:cstheme="minorEastAsia"/>
          <w:szCs w:val="21"/>
          <w:lang w:val="en-US" w:eastAsia="zh-CN" w:bidi="ar-SA"/>
        </w:rPr>
        <w:t>6.2施工水电：现场有条件的提供临时取水点及临时二级箱，电费按1.09元/kwh、水费按5.25元/m³收取；若无临时水电，需使用正式水电，中标单位与业主单位协商后自行就近接驳，相关水电费按当地规定收取；水电费在当月进度款中扣除。</w:t>
      </w:r>
    </w:p>
    <w:p w14:paraId="214DE4EC">
      <w:pPr>
        <w:spacing w:line="420" w:lineRule="exact"/>
        <w:ind w:firstLine="420" w:firstLineChars="0"/>
        <w:jc w:val="left"/>
        <w:rPr>
          <w:rFonts w:hint="eastAsia" w:asciiTheme="minorEastAsia" w:hAnsiTheme="minorEastAsia" w:eastAsiaTheme="minorEastAsia" w:cstheme="minorEastAsia"/>
          <w:szCs w:val="21"/>
          <w:lang w:val="en-US" w:eastAsia="zh-CN" w:bidi="ar-SA"/>
        </w:rPr>
      </w:pPr>
      <w:r>
        <w:rPr>
          <w:rFonts w:hint="eastAsia" w:asciiTheme="minorEastAsia" w:hAnsiTheme="minorEastAsia" w:eastAsiaTheme="minorEastAsia" w:cstheme="minorEastAsia"/>
          <w:szCs w:val="21"/>
          <w:lang w:val="en-US" w:eastAsia="zh-CN" w:bidi="ar-SA"/>
        </w:rPr>
        <w:t>6.3安全文明：中标单位应全面负责施工区域及其材料堆放、加工区域的安全文明管理，包括配置安全管理专员不少于1名，配置安全文明管理设施，如临时消防栓，灭火器，临边防护，标识标语等，需符合当地政府部门检查要求。在运载车辆离开工程现场之前，乙方应清洗其车轮，防止泥土掉落在公路上，如发生污染公路情况，甲方有权先行处理，所有费用由乙方承担。</w:t>
      </w:r>
    </w:p>
    <w:p w14:paraId="6744C1D2">
      <w:pPr>
        <w:spacing w:line="420" w:lineRule="exact"/>
        <w:ind w:firstLine="420" w:firstLineChars="0"/>
        <w:jc w:val="left"/>
        <w:rPr>
          <w:rFonts w:hint="eastAsia" w:asciiTheme="minorEastAsia" w:hAnsiTheme="minorEastAsia" w:eastAsiaTheme="minorEastAsia" w:cstheme="minorEastAsia"/>
          <w:szCs w:val="21"/>
          <w:lang w:val="en-US" w:eastAsia="zh-CN" w:bidi="ar-SA"/>
        </w:rPr>
      </w:pPr>
      <w:r>
        <w:rPr>
          <w:rFonts w:hint="eastAsia" w:asciiTheme="minorEastAsia" w:hAnsiTheme="minorEastAsia" w:eastAsiaTheme="minorEastAsia" w:cstheme="minorEastAsia"/>
          <w:szCs w:val="21"/>
          <w:lang w:val="en-US" w:eastAsia="zh-CN" w:bidi="ar-SA"/>
        </w:rPr>
        <w:t>6.4工人住宿：本项目建设方不提供工人住宿，中标单位自理。除甲方书面准许外，所有进场人员不允许在工地上留宿（仓管员除外）。如中标单位现场搭设临时设施等，需经甲方同意。甲方有权要求乙方限期拆除及撤离任何已搭建供住宿的建筑物。乙方在限期之内未拆除及撤离已搭建的建筑物，按违反文明施工处理。经批准后乙方在场地内搭建住宿的建筑物必须符合国家卫生局、环保局及城监等政府部门的规定，达不到要求的，甲方有权要求乙方立即整改或拆除。</w:t>
      </w:r>
    </w:p>
    <w:p w14:paraId="6FD61A68">
      <w:pPr>
        <w:spacing w:line="420" w:lineRule="exact"/>
        <w:ind w:firstLine="420" w:firstLineChars="0"/>
        <w:jc w:val="left"/>
        <w:rPr>
          <w:rFonts w:hint="eastAsia" w:ascii="宋体" w:hAnsi="宋体"/>
          <w:sz w:val="24"/>
        </w:rPr>
      </w:pPr>
      <w:r>
        <w:rPr>
          <w:rFonts w:hint="eastAsia" w:asciiTheme="minorEastAsia" w:hAnsiTheme="minorEastAsia" w:eastAsiaTheme="minorEastAsia" w:cstheme="minorEastAsia"/>
          <w:szCs w:val="21"/>
          <w:lang w:val="en-US" w:eastAsia="zh-CN" w:bidi="ar-SA"/>
        </w:rPr>
        <w:t>6．5仓库、制作场地和办公室：乙方应按照甲方监理批准的总平面布置图设置仓库、制作场地和办公室，并保护和维持其在良好的状态。乙方利用已完成的工程作为仓库、制作场地和办公室，应先取得甲方的同意，并确保工程不受损坏。任何损坏均由乙方负责。易燃易爆材料的贮存仓库的设置应得到公安部门的批准，易燃易爆材料不得贮存于已完成的工程内。乙方必须保持整个现场和建筑物及与工程有关的所有仓库，制作场地和办公室的环境清洁和卫生。</w:t>
      </w:r>
    </w:p>
    <w:p w14:paraId="5922BB6A">
      <w:pPr>
        <w:spacing w:line="360" w:lineRule="auto"/>
        <w:ind w:firstLine="480" w:firstLineChars="200"/>
        <w:rPr>
          <w:rFonts w:hint="eastAsia" w:ascii="宋体" w:hAnsi="宋体"/>
          <w:sz w:val="24"/>
        </w:rPr>
      </w:pPr>
    </w:p>
    <w:p w14:paraId="08CB02DE">
      <w:pPr>
        <w:numPr>
          <w:ilvl w:val="0"/>
          <w:numId w:val="0"/>
        </w:numPr>
        <w:spacing w:line="360" w:lineRule="auto"/>
        <w:ind w:leftChars="0"/>
        <w:outlineLvl w:val="2"/>
        <w:rPr>
          <w:rFonts w:hint="eastAsia" w:ascii="宋体" w:hAnsi="宋体"/>
          <w:b/>
          <w:bCs/>
        </w:rPr>
      </w:pPr>
      <w:r>
        <w:rPr>
          <w:rFonts w:hint="eastAsia" w:ascii="等线" w:hAnsi="等线" w:eastAsia="等线"/>
          <w:b/>
          <w:bCs/>
          <w:color w:val="0070C0"/>
          <w:szCs w:val="21"/>
          <w:lang w:val="en-US" w:eastAsia="zh-CN" w:bidi="ar-SA"/>
        </w:rPr>
        <w:t>七、施工材料及施工事项</w:t>
      </w:r>
    </w:p>
    <w:p w14:paraId="60BBBD0D">
      <w:pPr>
        <w:spacing w:line="420" w:lineRule="exact"/>
        <w:ind w:firstLine="420" w:firstLineChars="0"/>
        <w:jc w:val="left"/>
        <w:rPr>
          <w:rFonts w:hint="eastAsia" w:asciiTheme="minorEastAsia" w:hAnsiTheme="minorEastAsia" w:eastAsiaTheme="minorEastAsia" w:cstheme="minorEastAsia"/>
          <w:szCs w:val="21"/>
          <w:lang w:val="en-US" w:eastAsia="zh-CN" w:bidi="ar-SA"/>
        </w:rPr>
      </w:pPr>
      <w:r>
        <w:rPr>
          <w:rFonts w:hint="eastAsia" w:asciiTheme="minorEastAsia" w:hAnsiTheme="minorEastAsia" w:eastAsiaTheme="minorEastAsia" w:cstheme="minorEastAsia"/>
          <w:szCs w:val="21"/>
          <w:lang w:val="en-US" w:eastAsia="zh-CN" w:bidi="ar-SA"/>
        </w:rPr>
        <w:t>7.1材料的安全保管及补充：乙方应负责安全保管运至现场的任何材料，必须自费补充丢失或被盗的材料。乙方亦须负责安排现场内的保安工作，并符合国家有关的安全保卫规定。</w:t>
      </w:r>
    </w:p>
    <w:p w14:paraId="6F4BCF80">
      <w:pPr>
        <w:spacing w:line="420" w:lineRule="exact"/>
        <w:ind w:firstLine="420" w:firstLineChars="0"/>
        <w:jc w:val="left"/>
        <w:rPr>
          <w:rFonts w:hint="eastAsia" w:asciiTheme="minorEastAsia" w:hAnsiTheme="minorEastAsia" w:eastAsiaTheme="minorEastAsia" w:cstheme="minorEastAsia"/>
          <w:szCs w:val="21"/>
          <w:lang w:val="en-US" w:eastAsia="zh-CN" w:bidi="ar-SA"/>
        </w:rPr>
      </w:pPr>
      <w:r>
        <w:rPr>
          <w:rFonts w:hint="eastAsia" w:asciiTheme="minorEastAsia" w:hAnsiTheme="minorEastAsia" w:eastAsiaTheme="minorEastAsia" w:cstheme="minorEastAsia"/>
          <w:szCs w:val="21"/>
          <w:lang w:val="en-US" w:eastAsia="zh-CN" w:bidi="ar-SA"/>
        </w:rPr>
        <w:t>7.2 材料的来源：本工程所用的一切材料必须符合合同及国家相关规范要求，而且是新制成的，并且是可获得的最好质量。所有材料必须先送样到甲方，得到甲方签字确认，才可以用于施工项目。</w:t>
      </w:r>
    </w:p>
    <w:p w14:paraId="3CB6F5E0">
      <w:pPr>
        <w:spacing w:line="420" w:lineRule="exact"/>
        <w:ind w:firstLine="420" w:firstLineChars="0"/>
        <w:jc w:val="left"/>
        <w:rPr>
          <w:rFonts w:hint="eastAsia" w:asciiTheme="minorEastAsia" w:hAnsiTheme="minorEastAsia" w:eastAsiaTheme="minorEastAsia" w:cstheme="minorEastAsia"/>
          <w:szCs w:val="21"/>
          <w:lang w:val="en-US" w:eastAsia="zh-CN" w:bidi="ar-SA"/>
        </w:rPr>
      </w:pPr>
      <w:r>
        <w:rPr>
          <w:rFonts w:hint="eastAsia" w:asciiTheme="minorEastAsia" w:hAnsiTheme="minorEastAsia" w:eastAsiaTheme="minorEastAsia" w:cstheme="minorEastAsia"/>
          <w:szCs w:val="21"/>
          <w:lang w:val="en-US" w:eastAsia="zh-CN" w:bidi="ar-SA"/>
        </w:rPr>
        <w:t>7.3 施工过程中清除垃圾：在施工期间，乙方应每天清理施工现场内的垃圾必须装袋绑扎封口运至指定地点，每日做到工完场清，保持施工现场整洁，并至少每周一次将所有建筑垃圾运至政府规定垃圾场倾倒，有关费用已包含在工程费用中。乙方未按要求封装的，甲方有权给予每次500元的处罚；逾期不进行清理及外运的，甲方可另聘他人代为清理外运，由此引起的一切费用由乙方承担，并将在乙方的进度款中扣除。乙方不得在施工现场燃烧任何杂物及垃圾，若经证实，甲方将按不文明施工进行处理。</w:t>
      </w:r>
    </w:p>
    <w:p w14:paraId="72935D8F">
      <w:pPr>
        <w:spacing w:line="420" w:lineRule="exact"/>
        <w:ind w:firstLine="420" w:firstLineChars="0"/>
        <w:jc w:val="left"/>
        <w:rPr>
          <w:rFonts w:hint="eastAsia" w:asciiTheme="minorEastAsia" w:hAnsiTheme="minorEastAsia" w:eastAsiaTheme="minorEastAsia" w:cstheme="minorEastAsia"/>
          <w:szCs w:val="21"/>
          <w:lang w:val="en-US" w:eastAsia="zh-CN" w:bidi="ar-SA"/>
        </w:rPr>
      </w:pPr>
      <w:r>
        <w:rPr>
          <w:rFonts w:hint="eastAsia" w:asciiTheme="minorEastAsia" w:hAnsiTheme="minorEastAsia" w:eastAsiaTheme="minorEastAsia" w:cstheme="minorEastAsia"/>
          <w:szCs w:val="21"/>
          <w:lang w:val="en-US" w:eastAsia="zh-CN" w:bidi="ar-SA"/>
        </w:rPr>
        <w:t>7.4 成品保护：在工程交付前，所有的成品保护责任归口在施工单位自身。施工单位在各部位完成施工后，必须采取有效的成品保护措施，保证自己产品的完好无损，相应费用含在投标报价中。施工单位有责任和义务对已经完成的产品进行有效的保护，对施工边界的产品必须采取保护措施，确保不受污染或损坏。对于施工区域内已经完成的产品如有损坏，必须无条件修复或更换，直至达到验收要求。</w:t>
      </w:r>
    </w:p>
    <w:p w14:paraId="6A4CBC77">
      <w:pPr>
        <w:spacing w:line="420" w:lineRule="exact"/>
        <w:ind w:firstLine="420" w:firstLineChars="0"/>
        <w:jc w:val="left"/>
        <w:rPr>
          <w:rFonts w:hint="eastAsia" w:asciiTheme="minorEastAsia" w:hAnsiTheme="minorEastAsia" w:eastAsiaTheme="minorEastAsia" w:cstheme="minorEastAsia"/>
          <w:szCs w:val="21"/>
          <w:lang w:val="en-US" w:eastAsia="zh-CN" w:bidi="ar-SA"/>
        </w:rPr>
      </w:pPr>
      <w:r>
        <w:rPr>
          <w:rFonts w:hint="eastAsia" w:asciiTheme="minorEastAsia" w:hAnsiTheme="minorEastAsia" w:eastAsiaTheme="minorEastAsia" w:cstheme="minorEastAsia"/>
          <w:szCs w:val="21"/>
          <w:lang w:val="en-US" w:eastAsia="zh-CN" w:bidi="ar-SA"/>
        </w:rPr>
        <w:t>7.5 完工清洗保洁：工程完工后，施工单位须进行完工保洁三遍：第一遍在完工（内部）验收前2 天完成，第二遍在整体工程竣工验收前2天完成，第三遍在我方交付需求使用部门前三天完成，必须达到使用部门的精保洁要求并有使用部门签字认可。</w:t>
      </w:r>
    </w:p>
    <w:p w14:paraId="179A9500">
      <w:pPr>
        <w:spacing w:line="360" w:lineRule="auto"/>
        <w:ind w:firstLine="480" w:firstLineChars="200"/>
        <w:rPr>
          <w:rFonts w:hint="eastAsia" w:ascii="宋体" w:hAnsi="宋体"/>
          <w:sz w:val="24"/>
        </w:rPr>
      </w:pPr>
    </w:p>
    <w:p w14:paraId="3BE0DC39">
      <w:pPr>
        <w:numPr>
          <w:ilvl w:val="0"/>
          <w:numId w:val="0"/>
        </w:numPr>
        <w:spacing w:line="360" w:lineRule="auto"/>
        <w:ind w:leftChars="0"/>
        <w:outlineLvl w:val="2"/>
        <w:rPr>
          <w:rFonts w:hint="eastAsia" w:ascii="等线" w:hAnsi="等线" w:eastAsia="等线"/>
          <w:b/>
          <w:bCs/>
          <w:color w:val="0070C0"/>
          <w:szCs w:val="21"/>
          <w:lang w:val="en-US" w:eastAsia="zh-CN" w:bidi="ar-SA"/>
        </w:rPr>
      </w:pPr>
      <w:bookmarkStart w:id="17" w:name="_Toc1916652053"/>
      <w:r>
        <w:rPr>
          <w:rFonts w:hint="eastAsia" w:ascii="等线" w:hAnsi="等线" w:eastAsia="等线"/>
          <w:b/>
          <w:bCs/>
          <w:color w:val="0070C0"/>
          <w:szCs w:val="21"/>
          <w:lang w:val="en-US" w:eastAsia="zh-CN" w:bidi="ar-SA"/>
        </w:rPr>
        <w:t>八、项目主要管理人员配置要求</w:t>
      </w:r>
      <w:bookmarkEnd w:id="17"/>
    </w:p>
    <w:p w14:paraId="36171619">
      <w:pPr>
        <w:spacing w:line="420" w:lineRule="exact"/>
        <w:ind w:firstLine="420" w:firstLineChars="0"/>
        <w:jc w:val="left"/>
        <w:rPr>
          <w:rFonts w:hint="eastAsia" w:asciiTheme="minorEastAsia" w:hAnsiTheme="minorEastAsia" w:eastAsiaTheme="minorEastAsia" w:cstheme="minorEastAsia"/>
          <w:szCs w:val="21"/>
          <w:lang w:val="en-US" w:eastAsia="zh-CN" w:bidi="ar-SA"/>
        </w:rPr>
      </w:pPr>
      <w:r>
        <w:rPr>
          <w:rFonts w:hint="eastAsia" w:asciiTheme="minorEastAsia" w:hAnsiTheme="minorEastAsia" w:eastAsiaTheme="minorEastAsia" w:cstheme="minorEastAsia"/>
          <w:szCs w:val="21"/>
          <w:lang w:val="en-US" w:eastAsia="zh-CN" w:bidi="ar-SA"/>
        </w:rPr>
        <w:t>8.1项目经理任职资格</w:t>
      </w:r>
    </w:p>
    <w:p w14:paraId="0B111212">
      <w:pPr>
        <w:spacing w:line="420" w:lineRule="exact"/>
        <w:ind w:firstLine="420" w:firstLineChars="0"/>
        <w:jc w:val="left"/>
        <w:rPr>
          <w:rFonts w:hint="eastAsia" w:asciiTheme="minorEastAsia" w:hAnsiTheme="minorEastAsia" w:eastAsiaTheme="minorEastAsia" w:cstheme="minorEastAsia"/>
          <w:szCs w:val="21"/>
          <w:lang w:val="en-US" w:eastAsia="zh-CN" w:bidi="ar-SA"/>
        </w:rPr>
      </w:pPr>
      <w:r>
        <w:rPr>
          <w:rFonts w:hint="eastAsia" w:asciiTheme="minorEastAsia" w:hAnsiTheme="minorEastAsia" w:eastAsiaTheme="minorEastAsia" w:cstheme="minorEastAsia"/>
          <w:szCs w:val="21"/>
          <w:lang w:val="en-US" w:eastAsia="zh-CN" w:bidi="ar-SA"/>
        </w:rPr>
        <w:t>具有国家二级注册建造师执业资格、中级及以上职称，取得建设行政主管部门颁发的安全生产考核合格证B证,身体健康且能胜任岗位工作。具有两个以上1000m2以上的施工项目管理经历（须提供证明）；项目经理每周保证出勤六天，不得与技术负责人同时缺勤。</w:t>
      </w:r>
    </w:p>
    <w:p w14:paraId="5E2B8433">
      <w:pPr>
        <w:spacing w:line="420" w:lineRule="exact"/>
        <w:ind w:firstLine="420" w:firstLineChars="0"/>
        <w:jc w:val="left"/>
        <w:rPr>
          <w:rFonts w:hint="eastAsia" w:asciiTheme="minorEastAsia" w:hAnsiTheme="minorEastAsia" w:eastAsiaTheme="minorEastAsia" w:cstheme="minorEastAsia"/>
          <w:szCs w:val="21"/>
          <w:lang w:val="en-US" w:eastAsia="zh-CN" w:bidi="ar-SA"/>
        </w:rPr>
      </w:pPr>
      <w:r>
        <w:rPr>
          <w:rFonts w:hint="eastAsia" w:asciiTheme="minorEastAsia" w:hAnsiTheme="minorEastAsia" w:eastAsiaTheme="minorEastAsia" w:cstheme="minorEastAsia"/>
          <w:szCs w:val="21"/>
          <w:lang w:val="en-US" w:eastAsia="zh-CN" w:bidi="ar-SA"/>
        </w:rPr>
        <w:t>8.2项目技术负责人任职资格</w:t>
      </w:r>
    </w:p>
    <w:p w14:paraId="1D4D9178">
      <w:pPr>
        <w:spacing w:line="420" w:lineRule="exact"/>
        <w:ind w:firstLine="420" w:firstLineChars="0"/>
        <w:jc w:val="left"/>
        <w:rPr>
          <w:rFonts w:hint="eastAsia" w:asciiTheme="minorEastAsia" w:hAnsiTheme="minorEastAsia" w:eastAsiaTheme="minorEastAsia" w:cstheme="minorEastAsia"/>
          <w:szCs w:val="21"/>
          <w:lang w:val="en-US" w:eastAsia="zh-CN" w:bidi="ar-SA"/>
        </w:rPr>
      </w:pPr>
      <w:r>
        <w:rPr>
          <w:rFonts w:hint="eastAsia" w:asciiTheme="minorEastAsia" w:hAnsiTheme="minorEastAsia" w:eastAsiaTheme="minorEastAsia" w:cstheme="minorEastAsia"/>
          <w:szCs w:val="21"/>
          <w:lang w:val="en-US" w:eastAsia="zh-CN" w:bidi="ar-SA"/>
        </w:rPr>
        <w:t>具有国家二级注册建造师执业资格、中级及以上职称，身体健康且能胜任岗位工作。具有两个以上1000m2以上的施工项目管理经历（须提供证明）；项目技术负责人每周保证出勤六天，不得与项目经理同时缺勤。</w:t>
      </w:r>
    </w:p>
    <w:p w14:paraId="2307D243">
      <w:pPr>
        <w:spacing w:line="360" w:lineRule="auto"/>
        <w:outlineLvl w:val="2"/>
        <w:rPr>
          <w:rFonts w:hint="eastAsia" w:ascii="宋体" w:hAnsi="宋体"/>
          <w:b/>
          <w:sz w:val="24"/>
        </w:rPr>
      </w:pPr>
      <w:r>
        <w:rPr>
          <w:rFonts w:ascii="微软雅黑" w:hAnsi="微软雅黑" w:eastAsia="微软雅黑"/>
        </w:rPr>
        <w:br w:type="page"/>
      </w:r>
    </w:p>
    <w:p w14:paraId="70B0A7C7">
      <w:pPr>
        <w:numPr>
          <w:ilvl w:val="0"/>
          <w:numId w:val="0"/>
        </w:numPr>
        <w:spacing w:line="360" w:lineRule="auto"/>
        <w:ind w:leftChars="0"/>
        <w:outlineLvl w:val="2"/>
        <w:rPr>
          <w:rFonts w:hint="eastAsia" w:asciiTheme="minorEastAsia" w:hAnsiTheme="minorEastAsia" w:eastAsiaTheme="minorEastAsia"/>
          <w:sz w:val="24"/>
          <w:szCs w:val="32"/>
        </w:rPr>
      </w:pPr>
      <w:bookmarkStart w:id="18" w:name="_Toc1067673694"/>
      <w:r>
        <w:rPr>
          <w:rFonts w:hint="eastAsia" w:ascii="等线" w:hAnsi="等线" w:eastAsia="等线"/>
          <w:b/>
          <w:bCs/>
          <w:color w:val="0070C0"/>
          <w:szCs w:val="21"/>
          <w:lang w:val="en-US" w:eastAsia="zh-CN" w:bidi="ar-SA"/>
        </w:rPr>
        <w:t>九、技术要求</w:t>
      </w:r>
      <w:bookmarkEnd w:id="18"/>
    </w:p>
    <w:p w14:paraId="6D732D7B">
      <w:pPr>
        <w:pStyle w:val="3"/>
        <w:widowControl/>
        <w:adjustRightInd w:val="0"/>
        <w:spacing w:before="0" w:after="0" w:line="480" w:lineRule="auto"/>
        <w:ind w:firstLine="11"/>
        <w:contextualSpacing/>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9.1.钢结构工程</w:t>
      </w:r>
    </w:p>
    <w:p w14:paraId="13BAD128">
      <w:pPr>
        <w:pStyle w:val="13"/>
        <w:widowControl w:val="0"/>
        <w:adjustRightInd w:val="0"/>
        <w:spacing w:before="0" w:after="120" w:afterAutospacing="0" w:line="360" w:lineRule="auto"/>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9.1.1 一般规定</w:t>
      </w:r>
    </w:p>
    <w:p w14:paraId="21F9758C">
      <w:pPr>
        <w:pStyle w:val="13"/>
        <w:widowControl w:val="0"/>
        <w:adjustRightInd w:val="0"/>
        <w:spacing w:before="2" w:beforeAutospacing="0" w:after="0" w:afterAutospacing="0" w:line="360" w:lineRule="auto"/>
        <w:ind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工作范围</w:t>
      </w:r>
    </w:p>
    <w:p w14:paraId="30D60A21">
      <w:pPr>
        <w:pStyle w:val="13"/>
        <w:widowControl w:val="0"/>
        <w:numPr>
          <w:ilvl w:val="0"/>
          <w:numId w:val="2"/>
        </w:numPr>
        <w:adjustRightInd w:val="0"/>
        <w:spacing w:before="5" w:beforeAutospacing="0" w:after="120" w:afterAutospacing="0" w:line="360" w:lineRule="auto"/>
        <w:ind w:left="0" w:right="304" w:rightChars="145" w:firstLine="6"/>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钢结构工程包括本工程所有钢柱、钢梁、用于公用设备、设施的次要结构、安装平台、支撑、檩条、墙面金属板系统以及钢结构构件的连接(工厂焊接和螺栓连接)；</w:t>
      </w:r>
    </w:p>
    <w:p w14:paraId="1D6E89FE">
      <w:pPr>
        <w:pStyle w:val="13"/>
        <w:widowControl w:val="0"/>
        <w:numPr>
          <w:ilvl w:val="0"/>
          <w:numId w:val="2"/>
        </w:numPr>
        <w:adjustRightInd w:val="0"/>
        <w:spacing w:before="5" w:beforeAutospacing="0" w:after="120" w:afterAutospacing="0" w:line="360" w:lineRule="auto"/>
        <w:ind w:right="304" w:rightChars="145"/>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钢结构的加工制做、运输、安装、防腐、防火等；</w:t>
      </w:r>
    </w:p>
    <w:p w14:paraId="65EC01BF">
      <w:pPr>
        <w:pStyle w:val="13"/>
        <w:widowControl w:val="0"/>
        <w:numPr>
          <w:ilvl w:val="0"/>
          <w:numId w:val="2"/>
        </w:numPr>
        <w:adjustRightInd w:val="0"/>
        <w:spacing w:before="5" w:beforeAutospacing="0" w:after="120" w:afterAutospacing="0" w:line="360" w:lineRule="auto"/>
        <w:ind w:left="0" w:right="304" w:rightChars="145" w:firstLine="6"/>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业主提供 CAD 设计图，承包商在设计院施工图的基础上进行深化，深化图必须包括主要节点形式、安装吊顶辅助梁；</w:t>
      </w:r>
    </w:p>
    <w:p w14:paraId="47BFBE92">
      <w:pPr>
        <w:pStyle w:val="13"/>
        <w:widowControl w:val="0"/>
        <w:numPr>
          <w:ilvl w:val="0"/>
          <w:numId w:val="2"/>
        </w:numPr>
        <w:adjustRightInd w:val="0"/>
        <w:spacing w:before="5" w:beforeAutospacing="0" w:after="120" w:afterAutospacing="0" w:line="360" w:lineRule="auto"/>
        <w:ind w:left="0" w:right="304" w:rightChars="145" w:firstLine="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承包商应在投标前进行深化设计并提供准确的钢结构用量。除非业主要求有重大变更，业主不负责中标后施工期间钢结构用量增加的费用。承包商对深化的结构安全负责。</w:t>
      </w:r>
    </w:p>
    <w:p w14:paraId="29D96BBF">
      <w:pPr>
        <w:pStyle w:val="13"/>
        <w:widowControl w:val="0"/>
        <w:adjustRightInd w:val="0"/>
        <w:spacing w:before="2" w:beforeAutospacing="0" w:after="0" w:afterAutospacing="0" w:line="360" w:lineRule="auto"/>
        <w:ind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提交材料</w:t>
      </w:r>
    </w:p>
    <w:p w14:paraId="4380AF16">
      <w:pPr>
        <w:pStyle w:val="13"/>
        <w:widowControl w:val="0"/>
        <w:numPr>
          <w:ilvl w:val="2"/>
          <w:numId w:val="3"/>
        </w:numPr>
        <w:adjustRightInd w:val="0"/>
        <w:spacing w:before="123"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承包商必须首先提供以下文档：</w:t>
      </w:r>
    </w:p>
    <w:p w14:paraId="6DEE1E0C">
      <w:pPr>
        <w:pStyle w:val="13"/>
        <w:widowControl w:val="0"/>
        <w:numPr>
          <w:ilvl w:val="4"/>
          <w:numId w:val="4"/>
        </w:numPr>
        <w:adjustRightInd w:val="0"/>
        <w:spacing w:before="123"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钢结构承包商有关工程资质和组织架构图；</w:t>
      </w:r>
    </w:p>
    <w:p w14:paraId="24CB5F38">
      <w:pPr>
        <w:pStyle w:val="13"/>
        <w:widowControl w:val="0"/>
        <w:numPr>
          <w:ilvl w:val="4"/>
          <w:numId w:val="4"/>
        </w:numPr>
        <w:adjustRightInd w:val="0"/>
        <w:spacing w:before="123"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钢结构专业承包商质量控制程序；</w:t>
      </w:r>
    </w:p>
    <w:p w14:paraId="165597AB">
      <w:pPr>
        <w:pStyle w:val="13"/>
        <w:widowControl w:val="0"/>
        <w:numPr>
          <w:ilvl w:val="4"/>
          <w:numId w:val="4"/>
        </w:numPr>
        <w:adjustRightInd w:val="0"/>
        <w:spacing w:before="123"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现场安装平面图。</w:t>
      </w:r>
    </w:p>
    <w:p w14:paraId="182AECCB">
      <w:pPr>
        <w:pStyle w:val="13"/>
        <w:widowControl w:val="0"/>
        <w:numPr>
          <w:ilvl w:val="2"/>
          <w:numId w:val="3"/>
        </w:numPr>
        <w:adjustRightInd w:val="0"/>
        <w:spacing w:before="123"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其次：</w:t>
      </w:r>
    </w:p>
    <w:p w14:paraId="5CB5CDD0">
      <w:pPr>
        <w:pStyle w:val="13"/>
        <w:widowControl w:val="0"/>
        <w:numPr>
          <w:ilvl w:val="4"/>
          <w:numId w:val="5"/>
        </w:numPr>
        <w:adjustRightInd w:val="0"/>
        <w:spacing w:before="123"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深化加工图及配套构件节点设计；</w:t>
      </w:r>
    </w:p>
    <w:p w14:paraId="6572E592">
      <w:pPr>
        <w:pStyle w:val="13"/>
        <w:widowControl w:val="0"/>
        <w:numPr>
          <w:ilvl w:val="4"/>
          <w:numId w:val="5"/>
        </w:numPr>
        <w:adjustRightInd w:val="0"/>
        <w:spacing w:before="123"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结构用钢材的材料复检报告；</w:t>
      </w:r>
    </w:p>
    <w:p w14:paraId="71539A49">
      <w:pPr>
        <w:pStyle w:val="13"/>
        <w:widowControl w:val="0"/>
        <w:numPr>
          <w:ilvl w:val="4"/>
          <w:numId w:val="5"/>
        </w:numPr>
        <w:adjustRightInd w:val="0"/>
        <w:spacing w:before="123"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高强螺栓，螺帽和垫圈的出厂测试报告；</w:t>
      </w:r>
    </w:p>
    <w:p w14:paraId="42ADC416">
      <w:pPr>
        <w:pStyle w:val="13"/>
        <w:widowControl w:val="0"/>
        <w:numPr>
          <w:ilvl w:val="4"/>
          <w:numId w:val="5"/>
        </w:numPr>
        <w:adjustRightInd w:val="0"/>
        <w:spacing w:before="123"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所有焊工证原件及复印件；</w:t>
      </w:r>
    </w:p>
    <w:p w14:paraId="38EAB910">
      <w:pPr>
        <w:pStyle w:val="13"/>
        <w:widowControl w:val="0"/>
        <w:numPr>
          <w:ilvl w:val="4"/>
          <w:numId w:val="5"/>
        </w:numPr>
        <w:adjustRightInd w:val="0"/>
        <w:spacing w:before="123"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在工程安装中,所有与结构，焊缝，高强螺栓紧固相关的报告；</w:t>
      </w:r>
    </w:p>
    <w:p w14:paraId="1BD847F7">
      <w:pPr>
        <w:pStyle w:val="13"/>
        <w:widowControl w:val="0"/>
        <w:numPr>
          <w:ilvl w:val="4"/>
          <w:numId w:val="5"/>
        </w:numPr>
        <w:adjustRightInd w:val="0"/>
        <w:spacing w:before="123"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施工方案包括工厂生产，现场吊装及有关验收及无损检测方案。</w:t>
      </w:r>
    </w:p>
    <w:p w14:paraId="7F72BAD2">
      <w:pPr>
        <w:pStyle w:val="13"/>
        <w:widowControl w:val="0"/>
        <w:adjustRightInd w:val="0"/>
        <w:spacing w:before="2" w:beforeAutospacing="0" w:after="0" w:afterAutospacing="0" w:line="360" w:lineRule="auto"/>
        <w:ind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质量保证</w:t>
      </w:r>
    </w:p>
    <w:p w14:paraId="77CEF11E">
      <w:pPr>
        <w:pStyle w:val="13"/>
        <w:widowControl w:val="0"/>
        <w:numPr>
          <w:ilvl w:val="2"/>
          <w:numId w:val="3"/>
        </w:numPr>
        <w:adjustRightInd w:val="0"/>
        <w:spacing w:before="123"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结构体系必须符合国家现行的相关标准，指导意见以及有关部门的规定；</w:t>
      </w:r>
    </w:p>
    <w:p w14:paraId="258055B2">
      <w:pPr>
        <w:pStyle w:val="13"/>
        <w:widowControl w:val="0"/>
        <w:numPr>
          <w:ilvl w:val="2"/>
          <w:numId w:val="3"/>
        </w:numPr>
        <w:adjustRightInd w:val="0"/>
        <w:spacing w:before="123"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其它与之相关的国家规程，国家条例，例如《钢结构防火涂料应用技术规范》等；</w:t>
      </w:r>
    </w:p>
    <w:p w14:paraId="6135739E">
      <w:pPr>
        <w:pStyle w:val="13"/>
        <w:widowControl w:val="0"/>
        <w:numPr>
          <w:ilvl w:val="2"/>
          <w:numId w:val="3"/>
        </w:numPr>
        <w:adjustRightInd w:val="0"/>
        <w:spacing w:before="123"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此外，对于所要求的测试结果和相关证书也必须提交给业主和监理单位；</w:t>
      </w:r>
    </w:p>
    <w:p w14:paraId="3D97900A">
      <w:pPr>
        <w:pStyle w:val="13"/>
        <w:widowControl w:val="0"/>
        <w:numPr>
          <w:ilvl w:val="2"/>
          <w:numId w:val="3"/>
        </w:numPr>
        <w:adjustRightInd w:val="0"/>
        <w:spacing w:before="123"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承包商必须委托有资质的第三方完成所有必须的检测工作，这些检测包括（并不仅含） 焊接，高强螺栓，摩擦面等，承包商必须提供业主盖有检测资格章的检测报告。</w:t>
      </w:r>
    </w:p>
    <w:p w14:paraId="057D6C3F">
      <w:pPr>
        <w:pStyle w:val="13"/>
        <w:widowControl w:val="0"/>
        <w:adjustRightInd w:val="0"/>
        <w:spacing w:before="0" w:after="120" w:afterAutospacing="0" w:line="360" w:lineRule="auto"/>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9.1.2 材料</w:t>
      </w:r>
    </w:p>
    <w:p w14:paraId="4ED40DDE">
      <w:pPr>
        <w:pStyle w:val="13"/>
        <w:widowControl w:val="0"/>
        <w:adjustRightInd w:val="0"/>
        <w:spacing w:before="123" w:beforeAutospacing="0" w:after="0" w:afterAutospacing="0" w:line="360" w:lineRule="auto"/>
        <w:ind w:left="2" w:right="311" w:rightChars="148"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主钢构用钢材：</w:t>
      </w:r>
    </w:p>
    <w:p w14:paraId="471A8E97">
      <w:pPr>
        <w:pStyle w:val="13"/>
        <w:widowControl w:val="0"/>
        <w:adjustRightInd w:val="0"/>
        <w:spacing w:before="123" w:beforeAutospacing="0" w:after="0" w:afterAutospacing="0" w:line="360" w:lineRule="auto"/>
        <w:ind w:left="2" w:right="311" w:rightChars="148"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用于本工程主体承载结构所采用的钢材质量标准应符合《碳素结构钢》（GB/T700），《低合金高强度结构钢》（GB/T1591）规定的要求。保证抗拉强度、屈服点、伸长率和碳、硫、磷的极限含量，以及冷弯试验和冲击韧性的要求。钢桁架、钢柱、立柱之间支撑及所有型材采用Q235B钢，除非有特殊说明。</w:t>
      </w:r>
    </w:p>
    <w:p w14:paraId="735B4BD5">
      <w:pPr>
        <w:pStyle w:val="13"/>
        <w:widowControl w:val="0"/>
        <w:adjustRightInd w:val="0"/>
        <w:spacing w:before="120" w:beforeAutospacing="0" w:after="0" w:afterAutospacing="0" w:line="360" w:lineRule="auto"/>
        <w:ind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抗震设计钢结构钢材应符合下列规定：</w:t>
      </w:r>
    </w:p>
    <w:p w14:paraId="6CC1C2A9">
      <w:pPr>
        <w:pStyle w:val="13"/>
        <w:widowControl w:val="0"/>
        <w:numPr>
          <w:ilvl w:val="2"/>
          <w:numId w:val="6"/>
        </w:numPr>
        <w:adjustRightInd w:val="0"/>
        <w:spacing w:before="123" w:beforeAutospacing="0" w:after="0" w:afterAutospacing="0" w:line="360" w:lineRule="auto"/>
        <w:ind w:left="0" w:right="311" w:rightChars="148"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钢材的屈服强度实测值与抗拉强度实测值的比值不应大于0.85；</w:t>
      </w:r>
    </w:p>
    <w:p w14:paraId="5068CA8A">
      <w:pPr>
        <w:pStyle w:val="13"/>
        <w:widowControl w:val="0"/>
        <w:numPr>
          <w:ilvl w:val="2"/>
          <w:numId w:val="6"/>
        </w:numPr>
        <w:adjustRightInd w:val="0"/>
        <w:spacing w:before="123" w:beforeAutospacing="0" w:after="0" w:afterAutospacing="0" w:line="360" w:lineRule="auto"/>
        <w:ind w:left="0" w:right="311" w:rightChars="148"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钢材应有明显的屈服台阶，且伸长率应大于20%；</w:t>
      </w:r>
    </w:p>
    <w:p w14:paraId="08E7A7FA">
      <w:pPr>
        <w:pStyle w:val="13"/>
        <w:widowControl w:val="0"/>
        <w:numPr>
          <w:ilvl w:val="2"/>
          <w:numId w:val="6"/>
        </w:numPr>
        <w:adjustRightInd w:val="0"/>
        <w:spacing w:before="123" w:beforeAutospacing="0" w:after="0" w:afterAutospacing="0" w:line="360" w:lineRule="auto"/>
        <w:ind w:left="0" w:right="311" w:rightChars="148"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钢材应有良好的可焊性和合格的冲击韧性。</w:t>
      </w:r>
    </w:p>
    <w:p w14:paraId="7A29F497">
      <w:pPr>
        <w:pStyle w:val="13"/>
        <w:widowControl w:val="0"/>
        <w:adjustRightInd w:val="0"/>
        <w:spacing w:before="123" w:beforeAutospacing="0" w:after="0" w:afterAutospacing="0" w:line="360" w:lineRule="auto"/>
        <w:ind w:left="2" w:right="252" w:rightChars="12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次结构用钢材：</w:t>
      </w:r>
    </w:p>
    <w:p w14:paraId="280B5708">
      <w:pPr>
        <w:pStyle w:val="13"/>
        <w:widowControl w:val="0"/>
        <w:adjustRightInd w:val="0"/>
        <w:spacing w:before="123" w:beforeAutospacing="0" w:after="0" w:afterAutospacing="0" w:line="360" w:lineRule="auto"/>
        <w:ind w:left="2" w:right="252" w:rightChars="12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用于本工程檩条、围梁次结构所采用的钢材质量标准应符合《低合金高强度结构钢》（GB/T1591-94）规定的 Q355 冷弯薄壁钢要求。保证抗拉强度、屈服点、伸长率和碳、硫、磷的极限含量，以及冷弯试验的要求；</w:t>
      </w:r>
    </w:p>
    <w:p w14:paraId="2792C64C">
      <w:pPr>
        <w:pStyle w:val="13"/>
        <w:widowControl w:val="0"/>
        <w:adjustRightInd w:val="0"/>
        <w:spacing w:before="117" w:beforeAutospacing="0" w:after="0" w:afterAutospacing="0" w:line="360" w:lineRule="auto"/>
        <w:ind w:left="2" w:right="99" w:rightChars="47"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钢结构连接螺栓采用 S10.9 级高强度螺栓，主要采用高强度扭剪型螺栓，螺杆采20MnTiB， 螺母采用 45 号钢。不易于操作的位置可采用高强度大六角头螺栓。两者皆应符合国标规定。连接摩擦面喷砂后为防生赤锈，应做好保护措施；连接副抗滑移系数不小于 0.50；</w:t>
      </w:r>
    </w:p>
    <w:p w14:paraId="0972565B">
      <w:pPr>
        <w:pStyle w:val="13"/>
        <w:widowControl w:val="0"/>
        <w:adjustRightInd w:val="0"/>
        <w:spacing w:before="131" w:beforeAutospacing="0" w:after="0" w:afterAutospacing="0" w:line="360" w:lineRule="auto"/>
        <w:ind w:left="2" w:right="313" w:rightChars="149"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所有连接螺栓应为防腐蚀型，或至少是热镀锌的。不得采用油漆螺栓。这也适用于所有必需的垫圈；</w:t>
      </w:r>
    </w:p>
    <w:p w14:paraId="2DF152A3">
      <w:pPr>
        <w:pStyle w:val="13"/>
        <w:widowControl w:val="0"/>
        <w:adjustRightInd w:val="0"/>
        <w:spacing w:before="120" w:beforeAutospacing="0" w:after="0" w:afterAutospacing="0" w:line="360" w:lineRule="auto"/>
        <w:ind w:left="2" w:right="315" w:rightChars="15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普通螺栓和地脚锚栓分别采用 Q235B 和 Q355B，材料符合(GB/T700)的规定，螺纹基本尺寸符合《普通螺纹、基本牙型》和《普通螺纹、基本尺寸》（GB192-81，GB196-81）的规定；</w:t>
      </w:r>
    </w:p>
    <w:p w14:paraId="490EFCCD">
      <w:pPr>
        <w:pStyle w:val="13"/>
        <w:widowControl w:val="0"/>
        <w:adjustRightInd w:val="0"/>
        <w:spacing w:before="115" w:beforeAutospacing="0" w:after="0" w:afterAutospacing="0" w:line="360" w:lineRule="auto"/>
        <w:ind w:left="2" w:right="311" w:rightChars="148"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钢格栅采用热浸镀锌钢材，并符合规范《钢格栅板及配套件》YB/T 4001.1-2007；</w:t>
      </w:r>
    </w:p>
    <w:p w14:paraId="37284259">
      <w:pPr>
        <w:pStyle w:val="13"/>
        <w:widowControl w:val="0"/>
        <w:adjustRightInd w:val="0"/>
        <w:spacing w:before="124" w:beforeAutospacing="0" w:after="0" w:afterAutospacing="0" w:line="360" w:lineRule="auto"/>
        <w:ind w:left="2" w:right="313" w:rightChars="149"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花纹钢板：从国标里选型，钢板的厚度由设计图纸及结构设计人员确定；</w:t>
      </w:r>
    </w:p>
    <w:p w14:paraId="07F5FA16">
      <w:pPr>
        <w:pStyle w:val="13"/>
        <w:widowControl w:val="0"/>
        <w:adjustRightInd w:val="0"/>
        <w:spacing w:before="123" w:beforeAutospacing="0" w:after="0" w:afterAutospacing="0" w:line="360" w:lineRule="auto"/>
        <w:ind w:left="2" w:right="309" w:rightChars="147"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所有焊缝需符合钢结构焊接设计标准与检验标准。Q235B 钢材间的手工焊接采用 E43XX 型焊条，自动或半自动埋弧焊焊接采用 H08，H08A，H08E 型系列焊丝配合中锰型或高锰型焊剂， 必须有焊接工艺评定；</w:t>
      </w:r>
    </w:p>
    <w:p w14:paraId="730A5157">
      <w:pPr>
        <w:pStyle w:val="13"/>
        <w:widowControl w:val="0"/>
        <w:adjustRightInd w:val="0"/>
        <w:spacing w:before="122" w:beforeAutospacing="0" w:after="0" w:afterAutospacing="0" w:line="360" w:lineRule="auto"/>
        <w:ind w:left="2"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Q345B钢材间的手工焊接采用 E50XX 型焊条，自动或半自动埋弧焊焊接采用 H08Mn，H08MnA 型焊丝配合中锰型或高锰型焊剂，必须有焊接工艺评定；</w:t>
      </w:r>
    </w:p>
    <w:p w14:paraId="100F5849">
      <w:pPr>
        <w:pStyle w:val="13"/>
        <w:widowControl w:val="0"/>
        <w:adjustRightInd w:val="0"/>
        <w:spacing w:before="123" w:beforeAutospacing="0" w:after="0" w:afterAutospacing="0" w:line="360" w:lineRule="auto"/>
        <w:ind w:left="2"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Q235B和Q355B钢材之间的手工焊接采用 E43XX 型焊条；</w:t>
      </w:r>
    </w:p>
    <w:p w14:paraId="1AF2FC48">
      <w:pPr>
        <w:pStyle w:val="13"/>
        <w:widowControl w:val="0"/>
        <w:adjustRightInd w:val="0"/>
        <w:spacing w:before="124" w:beforeAutospacing="0" w:after="0" w:afterAutospacing="0" w:line="360" w:lineRule="auto"/>
        <w:ind w:left="2"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手工电弧焊的焊条符合《碳钢焊条》（GB/T5117-95）、《低合金钢焊条》（GB/T5118-95）的标准；</w:t>
      </w:r>
    </w:p>
    <w:p w14:paraId="528D1F54">
      <w:pPr>
        <w:pStyle w:val="13"/>
        <w:widowControl w:val="0"/>
        <w:adjustRightInd w:val="0"/>
        <w:spacing w:before="119" w:beforeAutospacing="0" w:after="0" w:afterAutospacing="0" w:line="360" w:lineRule="auto"/>
        <w:ind w:left="2" w:right="313" w:rightChars="149"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自动或半自动埋弧焊的焊丝符合《气体保护电弧焊用碳钢、低合金钢焊丝》（ GB/T8110-1995）的标准。</w:t>
      </w:r>
    </w:p>
    <w:p w14:paraId="01BA78A1">
      <w:pPr>
        <w:pStyle w:val="13"/>
        <w:widowControl w:val="0"/>
        <w:adjustRightInd w:val="0"/>
        <w:spacing w:before="119" w:beforeAutospacing="0" w:after="0" w:afterAutospacing="0" w:line="360" w:lineRule="auto"/>
        <w:ind w:right="313" w:rightChars="149"/>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9.1.3工程实施</w:t>
      </w:r>
    </w:p>
    <w:p w14:paraId="4A18D275">
      <w:pPr>
        <w:pStyle w:val="13"/>
        <w:widowControl w:val="0"/>
        <w:adjustRightInd w:val="0"/>
        <w:spacing w:before="123" w:beforeAutospacing="0" w:after="0" w:afterAutospacing="0" w:line="360" w:lineRule="auto"/>
        <w:ind w:left="240" w:hanging="210" w:hangingChars="1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加工制作</w:t>
      </w:r>
    </w:p>
    <w:p w14:paraId="5326B23B">
      <w:pPr>
        <w:pStyle w:val="13"/>
        <w:widowControl w:val="0"/>
        <w:numPr>
          <w:ilvl w:val="2"/>
          <w:numId w:val="7"/>
        </w:numPr>
        <w:adjustRightInd w:val="0"/>
        <w:spacing w:before="0"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除非有特殊说明外，工厂加工误差应满足规范GB50205和 YB3301的要求；</w:t>
      </w:r>
    </w:p>
    <w:p w14:paraId="1B8807CB">
      <w:pPr>
        <w:pStyle w:val="13"/>
        <w:widowControl w:val="0"/>
        <w:numPr>
          <w:ilvl w:val="2"/>
          <w:numId w:val="7"/>
        </w:numPr>
        <w:adjustRightInd w:val="0"/>
        <w:spacing w:before="123" w:beforeAutospacing="0" w:after="0" w:afterAutospacing="0" w:line="360" w:lineRule="auto"/>
        <w:ind w:left="0" w:right="311" w:rightChars="148"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所有钢结构构件在制作前应按 1：1 比例放样，并预留尺寸用以补偿焊接变形，若发现图纸尺寸有误和连接节点处理不当，及时与设计人员联系解决；</w:t>
      </w:r>
    </w:p>
    <w:p w14:paraId="40FA426C">
      <w:pPr>
        <w:pStyle w:val="13"/>
        <w:widowControl w:val="0"/>
        <w:numPr>
          <w:ilvl w:val="2"/>
          <w:numId w:val="7"/>
        </w:numPr>
        <w:adjustRightInd w:val="0"/>
        <w:spacing w:before="123" w:beforeAutospacing="0" w:after="0" w:afterAutospacing="0" w:line="360" w:lineRule="auto"/>
        <w:ind w:left="0" w:right="311" w:rightChars="148"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承包商应该取得并保留所有结构用钢材的工厂质检测试报告，并且在加工前提交报告给业主检阅，文档必须规范并按要求留有多份副本，工厂质检测试报告必须依照适用的材料规范包含所有适用的测试数据（例如化学性能，力学性能等）；</w:t>
      </w:r>
    </w:p>
    <w:p w14:paraId="04BFA284">
      <w:pPr>
        <w:pStyle w:val="13"/>
        <w:widowControl w:val="0"/>
        <w:numPr>
          <w:ilvl w:val="2"/>
          <w:numId w:val="7"/>
        </w:numPr>
        <w:adjustRightInd w:val="0"/>
        <w:spacing w:before="123" w:beforeAutospacing="0" w:after="0" w:afterAutospacing="0" w:line="360" w:lineRule="auto"/>
        <w:ind w:left="0" w:right="311" w:rightChars="148"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加工工厂尽可能靠近车间现场以便于构件的运输和组装。否则，选定的工厂需经业主或业主代表同意，并要求此条款写进投标书里。加工工厂必须在土建工程材料品牌推荐清单中选择；</w:t>
      </w:r>
    </w:p>
    <w:p w14:paraId="60E4B3EF">
      <w:pPr>
        <w:pStyle w:val="13"/>
        <w:widowControl w:val="0"/>
        <w:numPr>
          <w:ilvl w:val="2"/>
          <w:numId w:val="7"/>
        </w:numPr>
        <w:adjustRightInd w:val="0"/>
        <w:spacing w:before="123" w:beforeAutospacing="0" w:after="0" w:afterAutospacing="0" w:line="360" w:lineRule="auto"/>
        <w:ind w:left="0" w:right="311" w:rightChars="148"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连接节点的计算需按照已审核过的统一模板，里面应该包括节点形状，尺寸，节点荷载，加劲板以及螺栓。节点设计应综合考虑经济性，合理性以及便于安装。经由业主审核同意和与结构设计团队的合作在节点设计时是非常重要的；</w:t>
      </w:r>
    </w:p>
    <w:p w14:paraId="343E9918">
      <w:pPr>
        <w:pStyle w:val="13"/>
        <w:widowControl w:val="0"/>
        <w:numPr>
          <w:ilvl w:val="2"/>
          <w:numId w:val="7"/>
        </w:numPr>
        <w:adjustRightInd w:val="0"/>
        <w:spacing w:before="123" w:beforeAutospacing="0" w:after="0" w:afterAutospacing="0" w:line="360" w:lineRule="auto"/>
        <w:ind w:left="0" w:right="311" w:rightChars="148"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焊接必须具有有关部门核发的合法的焊接证书。在工厂或者加工车间完成所有的焊接， 除安装外，不得在工地焊接；</w:t>
      </w:r>
    </w:p>
    <w:p w14:paraId="0ABAFCC2">
      <w:pPr>
        <w:pStyle w:val="13"/>
        <w:widowControl w:val="0"/>
        <w:numPr>
          <w:ilvl w:val="2"/>
          <w:numId w:val="7"/>
        </w:numPr>
        <w:adjustRightInd w:val="0"/>
        <w:spacing w:before="123" w:beforeAutospacing="0" w:after="0" w:afterAutospacing="0" w:line="360" w:lineRule="auto"/>
        <w:ind w:left="0" w:right="311" w:rightChars="148"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施工完成后所有的可见焊缝即使是设计计算中没有要求的，应该都采用连续焊缝,除非设计图纸中有特殊要求否则是禁止使用断续焊缝；</w:t>
      </w:r>
    </w:p>
    <w:p w14:paraId="3BF5E3D4">
      <w:pPr>
        <w:pStyle w:val="13"/>
        <w:widowControl w:val="0"/>
        <w:numPr>
          <w:ilvl w:val="2"/>
          <w:numId w:val="7"/>
        </w:numPr>
        <w:adjustRightInd w:val="0"/>
        <w:spacing w:before="123" w:beforeAutospacing="0" w:after="0" w:afterAutospacing="0" w:line="360" w:lineRule="auto"/>
        <w:ind w:left="0" w:right="311" w:rightChars="148"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所有的焊缝应该具有连续的光滑的表面, 施工完成后所有的可见焊缝应该是光滑平整并且填满的。在焊缝施工前，应进行各种形式的焊缝实验（长度为 20cm）检验。</w:t>
      </w:r>
    </w:p>
    <w:p w14:paraId="4DF8E518">
      <w:pPr>
        <w:pStyle w:val="13"/>
        <w:widowControl w:val="0"/>
        <w:numPr>
          <w:ilvl w:val="2"/>
          <w:numId w:val="7"/>
        </w:numPr>
        <w:adjustRightInd w:val="0"/>
        <w:spacing w:before="123" w:beforeAutospacing="0" w:after="0" w:afterAutospacing="0" w:line="360" w:lineRule="auto"/>
        <w:ind w:left="0" w:right="311" w:rightChars="148"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除锈</w:t>
      </w:r>
    </w:p>
    <w:p w14:paraId="00595663">
      <w:pPr>
        <w:pStyle w:val="13"/>
        <w:widowControl w:val="0"/>
        <w:adjustRightInd w:val="0"/>
        <w:spacing w:before="2" w:beforeAutospacing="0" w:after="120" w:afterAutospacing="0" w:line="360" w:lineRule="auto"/>
        <w:ind w:right="300" w:rightChars="143"/>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所有构件应该喷砂除锈，现场制作的构件可以进行手工除锈。在除锈前应清除表面上的铁刺和焊渣残留，除锈等级应不小于 Sa2.5 并满足规范(GB8923-88)。</w:t>
      </w:r>
    </w:p>
    <w:p w14:paraId="0ACEDB08">
      <w:pPr>
        <w:pStyle w:val="13"/>
        <w:widowControl w:val="0"/>
        <w:numPr>
          <w:ilvl w:val="2"/>
          <w:numId w:val="7"/>
        </w:numPr>
        <w:adjustRightInd w:val="0"/>
        <w:spacing w:before="123" w:beforeAutospacing="0" w:after="0" w:afterAutospacing="0" w:line="360" w:lineRule="auto"/>
        <w:ind w:left="0" w:right="311" w:rightChars="148"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油漆涂料</w:t>
      </w:r>
    </w:p>
    <w:p w14:paraId="46EF5515">
      <w:pPr>
        <w:pStyle w:val="13"/>
        <w:widowControl w:val="0"/>
        <w:numPr>
          <w:ilvl w:val="3"/>
          <w:numId w:val="8"/>
        </w:numPr>
        <w:adjustRightInd w:val="0"/>
        <w:spacing w:before="123" w:beforeAutospacing="0" w:after="0" w:afterAutospacing="0" w:line="360" w:lineRule="auto"/>
        <w:ind w:left="0" w:right="311" w:rightChars="148"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两道防锈漆，厚度根据规范或设计要求确定。为确保施工产品与设计相吻合，承包商施工前报验样品供业主批准后，方可进行实施；</w:t>
      </w:r>
    </w:p>
    <w:p w14:paraId="1F54E940">
      <w:pPr>
        <w:pStyle w:val="13"/>
        <w:widowControl w:val="0"/>
        <w:numPr>
          <w:ilvl w:val="3"/>
          <w:numId w:val="8"/>
        </w:numPr>
        <w:adjustRightInd w:val="0"/>
        <w:spacing w:before="123" w:beforeAutospacing="0" w:after="0" w:afterAutospacing="0" w:line="360" w:lineRule="auto"/>
        <w:ind w:left="0" w:right="311" w:rightChars="148"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在进行喷涂装前，尽可能的所有的构件已经制作好避免再开孔，切割和焊接。为防止腐蚀，钢构件需涂底漆和面漆；</w:t>
      </w:r>
    </w:p>
    <w:p w14:paraId="38BFDC75">
      <w:pPr>
        <w:pStyle w:val="13"/>
        <w:widowControl w:val="0"/>
        <w:numPr>
          <w:ilvl w:val="3"/>
          <w:numId w:val="8"/>
        </w:numPr>
        <w:adjustRightInd w:val="0"/>
        <w:spacing w:before="123" w:beforeAutospacing="0" w:after="0" w:afterAutospacing="0" w:line="360" w:lineRule="auto"/>
        <w:ind w:left="0" w:right="311" w:rightChars="148"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底漆</w:t>
      </w:r>
    </w:p>
    <w:p w14:paraId="4EA62263">
      <w:pPr>
        <w:pStyle w:val="13"/>
        <w:widowControl w:val="0"/>
        <w:adjustRightInd w:val="0"/>
        <w:spacing w:before="124" w:beforeAutospacing="0" w:after="120" w:afterAutospacing="0" w:line="360" w:lineRule="auto"/>
        <w:ind w:right="311" w:rightChars="148"/>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底漆喷涂 2 道，底漆应不影响焊接并易于与面漆相融合。粘合需符合规范，凹空处的内部也需喷涂；</w:t>
      </w:r>
    </w:p>
    <w:p w14:paraId="354F7555">
      <w:pPr>
        <w:pStyle w:val="13"/>
        <w:widowControl w:val="0"/>
        <w:numPr>
          <w:ilvl w:val="3"/>
          <w:numId w:val="8"/>
        </w:numPr>
        <w:adjustRightInd w:val="0"/>
        <w:spacing w:before="123" w:beforeAutospacing="0" w:after="0" w:afterAutospacing="0" w:line="360" w:lineRule="auto"/>
        <w:ind w:left="0" w:right="311" w:rightChars="148"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面漆</w:t>
      </w:r>
    </w:p>
    <w:p w14:paraId="3E01E823">
      <w:pPr>
        <w:pStyle w:val="13"/>
        <w:widowControl w:val="0"/>
        <w:adjustRightInd w:val="0"/>
        <w:spacing w:before="123" w:beforeAutospacing="0" w:after="120" w:afterAutospacing="0" w:line="360" w:lineRule="auto"/>
        <w:ind w:right="315" w:rightChars="15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面漆至少 2 道，面漆颜色由业主选定；</w:t>
      </w:r>
    </w:p>
    <w:p w14:paraId="47757CCC">
      <w:pPr>
        <w:pStyle w:val="13"/>
        <w:widowControl w:val="0"/>
        <w:numPr>
          <w:ilvl w:val="3"/>
          <w:numId w:val="8"/>
        </w:numPr>
        <w:adjustRightInd w:val="0"/>
        <w:spacing w:before="123" w:beforeAutospacing="0" w:after="0" w:afterAutospacing="0" w:line="360" w:lineRule="auto"/>
        <w:ind w:left="0" w:right="311" w:rightChars="148"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防火涂料</w:t>
      </w:r>
    </w:p>
    <w:p w14:paraId="2999B101">
      <w:pPr>
        <w:pStyle w:val="13"/>
        <w:widowControl w:val="0"/>
        <w:adjustRightInd w:val="0"/>
        <w:spacing w:before="123" w:beforeAutospacing="0" w:after="120" w:afterAutospacing="0" w:line="360" w:lineRule="auto"/>
        <w:ind w:right="311" w:rightChars="148"/>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防火涂料根据建筑防火等级确定。防火涂料的性能、涂层厚度及质量要求应符合现行国家标准的规定，防火涂料应与底漆和面漆很好的相溶；</w:t>
      </w:r>
    </w:p>
    <w:p w14:paraId="7623CF8D">
      <w:pPr>
        <w:pStyle w:val="13"/>
        <w:widowControl w:val="0"/>
        <w:numPr>
          <w:ilvl w:val="3"/>
          <w:numId w:val="8"/>
        </w:numPr>
        <w:adjustRightInd w:val="0"/>
        <w:spacing w:before="123" w:beforeAutospacing="0" w:after="0" w:afterAutospacing="0" w:line="360" w:lineRule="auto"/>
        <w:ind w:left="0" w:right="311" w:rightChars="148"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涂装工作应该在工厂车间完成，涂层厚度按照钢结构规范或设计图纸的要求。现场的涂装工作只允许对在运输或组装的过程中磨损的位置；</w:t>
      </w:r>
    </w:p>
    <w:p w14:paraId="3DED33A1">
      <w:pPr>
        <w:pStyle w:val="13"/>
        <w:widowControl w:val="0"/>
        <w:numPr>
          <w:ilvl w:val="3"/>
          <w:numId w:val="8"/>
        </w:numPr>
        <w:adjustRightInd w:val="0"/>
        <w:spacing w:before="123" w:beforeAutospacing="0" w:after="0" w:afterAutospacing="0" w:line="360" w:lineRule="auto"/>
        <w:ind w:left="0" w:right="311" w:rightChars="148"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下列情况构件安装前免涂油漆：</w:t>
      </w:r>
    </w:p>
    <w:p w14:paraId="6878DF92">
      <w:pPr>
        <w:pStyle w:val="13"/>
        <w:widowControl w:val="0"/>
        <w:numPr>
          <w:ilvl w:val="4"/>
          <w:numId w:val="8"/>
        </w:numPr>
        <w:adjustRightInd w:val="0"/>
        <w:spacing w:before="123"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埋于混凝土中；</w:t>
      </w:r>
    </w:p>
    <w:p w14:paraId="1257A371">
      <w:pPr>
        <w:pStyle w:val="13"/>
        <w:widowControl w:val="0"/>
        <w:numPr>
          <w:ilvl w:val="4"/>
          <w:numId w:val="8"/>
        </w:numPr>
        <w:adjustRightInd w:val="0"/>
        <w:spacing w:before="123"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与混凝土接触面；</w:t>
      </w:r>
    </w:p>
    <w:p w14:paraId="7BAC80E7">
      <w:pPr>
        <w:pStyle w:val="13"/>
        <w:widowControl w:val="0"/>
        <w:numPr>
          <w:ilvl w:val="4"/>
          <w:numId w:val="8"/>
        </w:numPr>
        <w:adjustRightInd w:val="0"/>
        <w:spacing w:before="123"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现场焊接两侧各 50mm 的范围内；</w:t>
      </w:r>
    </w:p>
    <w:p w14:paraId="50DED158">
      <w:pPr>
        <w:pStyle w:val="13"/>
        <w:widowControl w:val="0"/>
        <w:numPr>
          <w:ilvl w:val="4"/>
          <w:numId w:val="8"/>
        </w:numPr>
        <w:adjustRightInd w:val="0"/>
        <w:spacing w:before="123"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高强螺栓连接范围内，构件接触面；</w:t>
      </w:r>
    </w:p>
    <w:p w14:paraId="449D7232">
      <w:pPr>
        <w:pStyle w:val="13"/>
        <w:widowControl w:val="0"/>
        <w:numPr>
          <w:ilvl w:val="4"/>
          <w:numId w:val="8"/>
        </w:numPr>
        <w:adjustRightInd w:val="0"/>
        <w:spacing w:before="123"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对于以上 C, D 项，在安装完成后补涂油漆。</w:t>
      </w:r>
    </w:p>
    <w:p w14:paraId="715C6A8B">
      <w:pPr>
        <w:pStyle w:val="13"/>
        <w:widowControl w:val="0"/>
        <w:adjustRightInd w:val="0"/>
        <w:spacing w:before="123" w:beforeAutospacing="0" w:after="0" w:afterAutospacing="0" w:line="360" w:lineRule="auto"/>
        <w:ind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安装</w:t>
      </w:r>
    </w:p>
    <w:p w14:paraId="0B2026E2">
      <w:pPr>
        <w:pStyle w:val="13"/>
        <w:widowControl w:val="0"/>
        <w:numPr>
          <w:ilvl w:val="2"/>
          <w:numId w:val="9"/>
        </w:numPr>
        <w:adjustRightInd w:val="0"/>
        <w:spacing w:before="94" w:beforeAutospacing="0" w:after="0" w:afterAutospacing="0" w:line="360" w:lineRule="auto"/>
        <w:ind w:left="0" w:right="311" w:rightChars="148"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构件安装前，应在工厂对构件进行全面检查。构件运输和储存过程中要妥善绑扎, 以防止变形和损伤；</w:t>
      </w:r>
    </w:p>
    <w:p w14:paraId="36B14049">
      <w:pPr>
        <w:pStyle w:val="13"/>
        <w:widowControl w:val="0"/>
        <w:numPr>
          <w:ilvl w:val="2"/>
          <w:numId w:val="9"/>
        </w:numPr>
        <w:adjustRightInd w:val="0"/>
        <w:spacing w:before="94" w:beforeAutospacing="0" w:after="0" w:afterAutospacing="0" w:line="360" w:lineRule="auto"/>
        <w:ind w:left="0" w:right="311" w:rightChars="148"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所有螺栓连接应强力连接，接触面不得留有任何间隙。使用电动或气动扭矩扳手进行安装；</w:t>
      </w:r>
    </w:p>
    <w:p w14:paraId="407BDB09">
      <w:pPr>
        <w:pStyle w:val="13"/>
        <w:widowControl w:val="0"/>
        <w:numPr>
          <w:ilvl w:val="2"/>
          <w:numId w:val="9"/>
        </w:numPr>
        <w:adjustRightInd w:val="0"/>
        <w:spacing w:before="94" w:beforeAutospacing="0" w:after="0" w:afterAutospacing="0" w:line="360" w:lineRule="auto"/>
        <w:ind w:left="0" w:right="311" w:rightChars="148"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在钢构形成空间承载体系之前，必须设置足以保证钢构在各个方向上施工稳定支撑；</w:t>
      </w:r>
    </w:p>
    <w:p w14:paraId="48A739BB">
      <w:pPr>
        <w:pStyle w:val="13"/>
        <w:widowControl w:val="0"/>
        <w:numPr>
          <w:ilvl w:val="2"/>
          <w:numId w:val="9"/>
        </w:numPr>
        <w:adjustRightInd w:val="0"/>
        <w:spacing w:before="94" w:beforeAutospacing="0" w:after="0" w:afterAutospacing="0" w:line="360" w:lineRule="auto"/>
        <w:ind w:left="0" w:right="311" w:rightChars="148"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供货商须进行铺板图设计，并提供相配套的配件，包括封闭角钢，封口板等；</w:t>
      </w:r>
    </w:p>
    <w:p w14:paraId="6B01BE86">
      <w:pPr>
        <w:pStyle w:val="13"/>
        <w:widowControl w:val="0"/>
        <w:numPr>
          <w:ilvl w:val="2"/>
          <w:numId w:val="9"/>
        </w:numPr>
        <w:adjustRightInd w:val="0"/>
        <w:spacing w:before="94" w:beforeAutospacing="0" w:after="0" w:afterAutospacing="0" w:line="360" w:lineRule="auto"/>
        <w:ind w:left="0" w:right="311" w:rightChars="148"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每块钢格栅至少配置 4 个紧固件，钢格栅应该在工厂依照设计图加工，如果有支撑或者管道穿过，可以在现场切割并在开孔周围承载梁加固；</w:t>
      </w:r>
    </w:p>
    <w:p w14:paraId="66B51DFE">
      <w:pPr>
        <w:pStyle w:val="13"/>
        <w:widowControl w:val="0"/>
        <w:numPr>
          <w:ilvl w:val="2"/>
          <w:numId w:val="9"/>
        </w:numPr>
        <w:adjustRightInd w:val="0"/>
        <w:spacing w:before="94" w:beforeAutospacing="0" w:after="0" w:afterAutospacing="0" w:line="360" w:lineRule="auto"/>
        <w:ind w:left="0" w:right="311" w:rightChars="148"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高强螺栓不得重复使用；</w:t>
      </w:r>
    </w:p>
    <w:p w14:paraId="733017A9">
      <w:pPr>
        <w:pStyle w:val="13"/>
        <w:widowControl w:val="0"/>
        <w:numPr>
          <w:ilvl w:val="2"/>
          <w:numId w:val="9"/>
        </w:numPr>
        <w:adjustRightInd w:val="0"/>
        <w:spacing w:before="94" w:beforeAutospacing="0" w:after="0" w:afterAutospacing="0" w:line="360" w:lineRule="auto"/>
        <w:ind w:left="0" w:right="311" w:rightChars="148"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所有临时的加劲板，吊杆，梁和斜交支撑在施工完成后须拆除，在钢结构完成面上不能再见到；</w:t>
      </w:r>
    </w:p>
    <w:p w14:paraId="0B6D4350">
      <w:pPr>
        <w:pStyle w:val="13"/>
        <w:widowControl w:val="0"/>
        <w:numPr>
          <w:ilvl w:val="2"/>
          <w:numId w:val="9"/>
        </w:numPr>
        <w:adjustRightInd w:val="0"/>
        <w:spacing w:before="94" w:beforeAutospacing="0" w:after="0" w:afterAutospacing="0" w:line="360" w:lineRule="auto"/>
        <w:ind w:left="0" w:right="311" w:rightChars="148"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构筑物必须严格按照国家建筑规范和相关法律。符合其他专业和业主对钢结构的要求。</w:t>
      </w:r>
    </w:p>
    <w:p w14:paraId="5D0A6868">
      <w:pPr>
        <w:pStyle w:val="13"/>
        <w:widowControl w:val="0"/>
        <w:adjustRightInd w:val="0"/>
        <w:spacing w:before="123" w:beforeAutospacing="0" w:after="0" w:afterAutospacing="0" w:line="360" w:lineRule="auto"/>
        <w:ind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现场质量控制</w:t>
      </w:r>
    </w:p>
    <w:p w14:paraId="309E5471">
      <w:pPr>
        <w:pStyle w:val="13"/>
        <w:widowControl w:val="0"/>
        <w:numPr>
          <w:ilvl w:val="2"/>
          <w:numId w:val="10"/>
        </w:numPr>
        <w:adjustRightInd w:val="0"/>
        <w:spacing w:before="94" w:beforeAutospacing="0" w:after="0" w:afterAutospacing="0" w:line="360" w:lineRule="auto"/>
        <w:ind w:left="0" w:right="311" w:rightChars="148"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不允许现场焊接，除非有业主代表特许并有相应的质量保证方案。禁止直接用烧焊钢结构制孔；</w:t>
      </w:r>
    </w:p>
    <w:p w14:paraId="107C12F8">
      <w:pPr>
        <w:pStyle w:val="13"/>
        <w:widowControl w:val="0"/>
        <w:numPr>
          <w:ilvl w:val="2"/>
          <w:numId w:val="10"/>
        </w:numPr>
        <w:adjustRightInd w:val="0"/>
        <w:spacing w:before="94" w:beforeAutospacing="0" w:after="0" w:afterAutospacing="0" w:line="360" w:lineRule="auto"/>
        <w:ind w:left="0" w:right="311" w:rightChars="148"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所有损害，磨损和削弱的钢构件以及螺丝和焊接处必须进行替换或者修补，完工质量须符合国家标准；</w:t>
      </w:r>
    </w:p>
    <w:p w14:paraId="2C00C7D7">
      <w:pPr>
        <w:pStyle w:val="13"/>
        <w:widowControl w:val="0"/>
        <w:numPr>
          <w:ilvl w:val="2"/>
          <w:numId w:val="10"/>
        </w:numPr>
        <w:adjustRightInd w:val="0"/>
        <w:spacing w:before="94" w:beforeAutospacing="0" w:after="0" w:afterAutospacing="0" w:line="360" w:lineRule="auto"/>
        <w:ind w:left="0" w:right="311" w:rightChars="148"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在完成的钢梁、钢柱和支撑上进行围护结构时，要确定它们已经按质量要求完工；</w:t>
      </w:r>
    </w:p>
    <w:p w14:paraId="388983E7">
      <w:pPr>
        <w:pStyle w:val="13"/>
        <w:widowControl w:val="0"/>
        <w:numPr>
          <w:ilvl w:val="2"/>
          <w:numId w:val="10"/>
        </w:numPr>
        <w:adjustRightInd w:val="0"/>
        <w:spacing w:before="94" w:beforeAutospacing="0" w:after="0" w:afterAutospacing="0" w:line="360" w:lineRule="auto"/>
        <w:ind w:left="0" w:right="311" w:rightChars="148"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所有在工地施工的连接接头都必须确保质量要求。</w:t>
      </w:r>
    </w:p>
    <w:p w14:paraId="6B2A3EA4">
      <w:pPr>
        <w:pStyle w:val="13"/>
        <w:widowControl w:val="0"/>
        <w:adjustRightInd w:val="0"/>
        <w:spacing w:before="123" w:beforeAutospacing="0" w:after="0" w:afterAutospacing="0" w:line="360" w:lineRule="auto"/>
        <w:ind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其他</w:t>
      </w:r>
    </w:p>
    <w:p w14:paraId="0DEFFE1E">
      <w:pPr>
        <w:pStyle w:val="13"/>
        <w:widowControl w:val="0"/>
        <w:numPr>
          <w:ilvl w:val="2"/>
          <w:numId w:val="10"/>
        </w:numPr>
        <w:adjustRightInd w:val="0"/>
        <w:spacing w:before="94" w:beforeAutospacing="0" w:after="0" w:afterAutospacing="0" w:line="360" w:lineRule="auto"/>
        <w:ind w:left="0" w:right="311" w:rightChars="148"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所有材料应提交业主审批；</w:t>
      </w:r>
    </w:p>
    <w:p w14:paraId="3F839F61">
      <w:pPr>
        <w:pStyle w:val="13"/>
        <w:widowControl w:val="0"/>
        <w:numPr>
          <w:ilvl w:val="2"/>
          <w:numId w:val="10"/>
        </w:numPr>
        <w:adjustRightInd w:val="0"/>
        <w:spacing w:before="94" w:beforeAutospacing="0" w:after="0" w:afterAutospacing="0" w:line="360" w:lineRule="auto"/>
        <w:ind w:left="0" w:right="311" w:rightChars="148"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钢结构安装的安全是非常重要的。所有安全规范要求的必须措施（包括并不仅限于：安全平网，生命线，屋面开洞的围护等等）必须现场条件和有关法规设置。钢结构安装方案未经业主及监理批准，钢结构安装不得进行。业主及监理有权随时因安全问题停止钢结构施工。</w:t>
      </w:r>
    </w:p>
    <w:p w14:paraId="69D272DB">
      <w:pPr>
        <w:spacing w:line="360" w:lineRule="auto"/>
        <w:ind w:left="567"/>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 xml:space="preserve"> </w:t>
      </w:r>
    </w:p>
    <w:p w14:paraId="19B58F6C">
      <w:pPr>
        <w:pStyle w:val="3"/>
        <w:widowControl/>
        <w:adjustRightInd w:val="0"/>
        <w:spacing w:before="0" w:after="0" w:line="480" w:lineRule="auto"/>
        <w:ind w:firstLine="11"/>
        <w:contextualSpacing/>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9.2 地面面层</w:t>
      </w:r>
    </w:p>
    <w:p w14:paraId="787FBB06">
      <w:pPr>
        <w:pStyle w:val="13"/>
        <w:widowControl w:val="0"/>
        <w:adjustRightInd w:val="0"/>
        <w:spacing w:before="0" w:after="120" w:afterAutospacing="0" w:line="360" w:lineRule="auto"/>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9.2.1 一般规定</w:t>
      </w:r>
    </w:p>
    <w:p w14:paraId="5514448F">
      <w:pPr>
        <w:pStyle w:val="13"/>
        <w:widowControl w:val="0"/>
        <w:numPr>
          <w:ilvl w:val="1"/>
          <w:numId w:val="11"/>
        </w:numPr>
        <w:adjustRightInd w:val="0"/>
        <w:spacing w:before="130"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相关文件</w:t>
      </w:r>
    </w:p>
    <w:p w14:paraId="5521C6E2">
      <w:pPr>
        <w:pStyle w:val="13"/>
        <w:widowControl w:val="0"/>
        <w:numPr>
          <w:ilvl w:val="2"/>
          <w:numId w:val="11"/>
        </w:numPr>
        <w:adjustRightInd w:val="0"/>
        <w:spacing w:before="131"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图纸与合同条件，包括通用特殊条款；</w:t>
      </w:r>
    </w:p>
    <w:p w14:paraId="6262B7E3">
      <w:pPr>
        <w:pStyle w:val="13"/>
        <w:widowControl w:val="0"/>
        <w:numPr>
          <w:ilvl w:val="2"/>
          <w:numId w:val="11"/>
        </w:numPr>
        <w:adjustRightInd w:val="0"/>
        <w:spacing w:before="131"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承包商的工作范围和技术规格书；</w:t>
      </w:r>
    </w:p>
    <w:p w14:paraId="376B372F">
      <w:pPr>
        <w:pStyle w:val="13"/>
        <w:widowControl w:val="0"/>
        <w:numPr>
          <w:ilvl w:val="2"/>
          <w:numId w:val="11"/>
        </w:numPr>
        <w:adjustRightInd w:val="0"/>
        <w:spacing w:before="131"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施工合同；</w:t>
      </w:r>
    </w:p>
    <w:p w14:paraId="28CF25DE">
      <w:pPr>
        <w:pStyle w:val="13"/>
        <w:widowControl w:val="0"/>
        <w:numPr>
          <w:ilvl w:val="1"/>
          <w:numId w:val="11"/>
        </w:numPr>
        <w:adjustRightInd w:val="0"/>
        <w:spacing w:before="130"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工作范围</w:t>
      </w:r>
    </w:p>
    <w:p w14:paraId="66D021DA">
      <w:pPr>
        <w:pStyle w:val="13"/>
        <w:widowControl w:val="0"/>
        <w:numPr>
          <w:ilvl w:val="2"/>
          <w:numId w:val="11"/>
        </w:numPr>
        <w:adjustRightInd w:val="0"/>
        <w:spacing w:before="131"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承包商应按设计图纸要求对混凝土地坪及装修材料及附件进行采购，安装和售后服务。材料包括环氧地坪、混凝土地坪，耐磨地面，混凝土密封固化剂地面。附件及配件也应包括在内，如嵌固金属分割条安装，开洞和孔的成形，安装完成后的处理。</w:t>
      </w:r>
    </w:p>
    <w:p w14:paraId="3D9D6BD8">
      <w:pPr>
        <w:pStyle w:val="13"/>
        <w:widowControl w:val="0"/>
        <w:numPr>
          <w:ilvl w:val="2"/>
          <w:numId w:val="11"/>
        </w:numPr>
        <w:adjustRightInd w:val="0"/>
        <w:spacing w:before="131"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承包商要严格按照施工图图纸、设计说明和国家标准、规范组织制造，并接受业主代表和监理的监督和检查。同时,承包商在施工过程中有义务核对图纸，如果发现图纸有错误，承包商应正式向业主提出来并提出解决方案，由业主确定。</w:t>
      </w:r>
    </w:p>
    <w:p w14:paraId="72D7AC58">
      <w:pPr>
        <w:pStyle w:val="13"/>
        <w:widowControl w:val="0"/>
        <w:numPr>
          <w:ilvl w:val="2"/>
          <w:numId w:val="11"/>
        </w:numPr>
        <w:adjustRightInd w:val="0"/>
        <w:spacing w:before="131"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承包商应按照最终收到的设计图和业主提供的土建工程主要材料推荐品牌清单进行采购。</w:t>
      </w:r>
    </w:p>
    <w:p w14:paraId="3A804ECC">
      <w:pPr>
        <w:pStyle w:val="13"/>
        <w:widowControl w:val="0"/>
        <w:numPr>
          <w:ilvl w:val="1"/>
          <w:numId w:val="11"/>
        </w:numPr>
        <w:adjustRightInd w:val="0"/>
        <w:spacing w:before="130"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提交资料</w:t>
      </w:r>
    </w:p>
    <w:p w14:paraId="6857AAF8">
      <w:pPr>
        <w:pStyle w:val="13"/>
        <w:widowControl w:val="0"/>
        <w:numPr>
          <w:ilvl w:val="2"/>
          <w:numId w:val="11"/>
        </w:numPr>
        <w:adjustRightInd w:val="0"/>
        <w:spacing w:before="131"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承包商向业主提供以下本系统所使用设备材料的资料，包括但不限于。</w:t>
      </w:r>
    </w:p>
    <w:p w14:paraId="6A496FD2">
      <w:pPr>
        <w:pStyle w:val="13"/>
        <w:widowControl w:val="0"/>
        <w:numPr>
          <w:ilvl w:val="3"/>
          <w:numId w:val="12"/>
        </w:numPr>
        <w:adjustRightInd w:val="0"/>
        <w:spacing w:before="0" w:beforeAutospacing="0" w:after="0" w:afterAutospacing="0" w:line="360" w:lineRule="auto"/>
        <w:ind w:left="0" w:right="315" w:rightChars="15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承包商应提交产品(包括组件)样品和文件资料的送审计划并按计划提交样品及文件资料，文件资料包括：详细技术参数，型式试验报告，出厂测试报告，资质文件，原产地证书，产品样本等文件资料，还应提供设备材料清单，装箱清单，完整的设备验收标准及检验方法。</w:t>
      </w:r>
    </w:p>
    <w:p w14:paraId="0D5846D5">
      <w:pPr>
        <w:pStyle w:val="13"/>
        <w:widowControl w:val="0"/>
        <w:numPr>
          <w:ilvl w:val="3"/>
          <w:numId w:val="12"/>
        </w:numPr>
        <w:adjustRightInd w:val="0"/>
        <w:spacing w:before="0" w:beforeAutospacing="0" w:after="0" w:afterAutospacing="0" w:line="360" w:lineRule="auto"/>
        <w:ind w:left="0" w:right="315" w:rightChars="15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提交施工记录文件。</w:t>
      </w:r>
    </w:p>
    <w:p w14:paraId="23495E7F">
      <w:pPr>
        <w:pStyle w:val="13"/>
        <w:widowControl w:val="0"/>
        <w:numPr>
          <w:ilvl w:val="1"/>
          <w:numId w:val="11"/>
        </w:numPr>
        <w:adjustRightInd w:val="0"/>
        <w:spacing w:before="130"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地坪施工环境要求</w:t>
      </w:r>
    </w:p>
    <w:p w14:paraId="1DEC78A5">
      <w:pPr>
        <w:pStyle w:val="13"/>
        <w:widowControl w:val="0"/>
        <w:numPr>
          <w:ilvl w:val="3"/>
          <w:numId w:val="11"/>
        </w:numPr>
        <w:adjustRightInd w:val="0"/>
        <w:spacing w:before="130"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基底必须是稳定的，牢固的，干净的，无裂缝，无龟裂，无松散的，以及无损坏和无尘的。表面必须适合于面层的应用。</w:t>
      </w:r>
    </w:p>
    <w:p w14:paraId="100D6A87">
      <w:pPr>
        <w:pStyle w:val="13"/>
        <w:widowControl w:val="0"/>
        <w:numPr>
          <w:ilvl w:val="3"/>
          <w:numId w:val="11"/>
        </w:numPr>
        <w:adjustRightInd w:val="0"/>
        <w:spacing w:before="130"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金刚砂耐磨地坪需保证平整度满足超平地坪要求（平整度要求满足每2米偏差小于3mm，整个楼层偏差小于20mm），金刚砂骨料必须为合金骨料，每平米用量≥5KG，渗透固化剂每平米用量≥0.2KG。</w:t>
      </w:r>
    </w:p>
    <w:p w14:paraId="3FDDF81F">
      <w:pPr>
        <w:pStyle w:val="13"/>
        <w:widowControl w:val="0"/>
        <w:numPr>
          <w:ilvl w:val="3"/>
          <w:numId w:val="11"/>
        </w:numPr>
        <w:adjustRightInd w:val="0"/>
        <w:spacing w:before="130"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 xml:space="preserve">混凝土为抗缩型，面层混凝土严禁添加粉煤灰；耐磨骨料颜色在施工前由业主选定。 </w:t>
      </w:r>
    </w:p>
    <w:p w14:paraId="7EE1A8F2">
      <w:pPr>
        <w:pStyle w:val="13"/>
        <w:widowControl w:val="0"/>
        <w:numPr>
          <w:ilvl w:val="3"/>
          <w:numId w:val="11"/>
        </w:numPr>
        <w:adjustRightInd w:val="0"/>
        <w:spacing w:before="130"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不允许在过冷或过热，雨夹雪，雨雪，大风等气候下硬化地面，除非采取适当措施。</w:t>
      </w:r>
    </w:p>
    <w:p w14:paraId="60BDACBB">
      <w:pPr>
        <w:pStyle w:val="13"/>
        <w:widowControl w:val="0"/>
        <w:numPr>
          <w:ilvl w:val="1"/>
          <w:numId w:val="11"/>
        </w:numPr>
        <w:adjustRightInd w:val="0"/>
        <w:spacing w:before="130"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质量保证</w:t>
      </w:r>
    </w:p>
    <w:p w14:paraId="48B562EC">
      <w:pPr>
        <w:pStyle w:val="13"/>
        <w:widowControl w:val="0"/>
        <w:numPr>
          <w:ilvl w:val="2"/>
          <w:numId w:val="11"/>
        </w:numPr>
        <w:adjustRightInd w:val="0"/>
        <w:spacing w:before="131"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所有的材料与产品均须满足远东电缆的标准与有关要求，详见合同文件。</w:t>
      </w:r>
    </w:p>
    <w:p w14:paraId="5C7E0436">
      <w:pPr>
        <w:pStyle w:val="13"/>
        <w:widowControl w:val="0"/>
        <w:numPr>
          <w:ilvl w:val="2"/>
          <w:numId w:val="11"/>
        </w:numPr>
        <w:adjustRightInd w:val="0"/>
        <w:spacing w:before="131"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业主对本项目有全面监督检查权，有权审查设备材料的制造、外购件的购置和设备材料的安装质量。业主若发现制造、安装和外购件质量等方面有问题，有权要求暂停设备材料的制造和安装。承包商应立即采取措施加以改进，直到达到规定的要求，并承担相应的费用。</w:t>
      </w:r>
    </w:p>
    <w:p w14:paraId="0679ADF3">
      <w:pPr>
        <w:pStyle w:val="13"/>
        <w:widowControl w:val="0"/>
        <w:numPr>
          <w:ilvl w:val="2"/>
          <w:numId w:val="11"/>
        </w:numPr>
        <w:adjustRightInd w:val="0"/>
        <w:spacing w:before="131"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所有材料满足GB50210-2001 建筑装饰装修工程质量验收规范。</w:t>
      </w:r>
    </w:p>
    <w:p w14:paraId="6B564217">
      <w:pPr>
        <w:pStyle w:val="13"/>
        <w:widowControl w:val="0"/>
        <w:numPr>
          <w:ilvl w:val="2"/>
          <w:numId w:val="11"/>
        </w:numPr>
        <w:adjustRightInd w:val="0"/>
        <w:spacing w:before="131"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符合中国相关规范的检测报告。</w:t>
      </w:r>
    </w:p>
    <w:p w14:paraId="31C03FC5">
      <w:pPr>
        <w:pStyle w:val="13"/>
        <w:widowControl w:val="0"/>
        <w:numPr>
          <w:ilvl w:val="2"/>
          <w:numId w:val="11"/>
        </w:numPr>
        <w:adjustRightInd w:val="0"/>
        <w:spacing w:before="131"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质量担保：包括混凝土金刚砂面层与基底分层和饰面劣化。</w:t>
      </w:r>
    </w:p>
    <w:p w14:paraId="12EF7146">
      <w:pPr>
        <w:pStyle w:val="13"/>
        <w:widowControl w:val="0"/>
        <w:numPr>
          <w:ilvl w:val="1"/>
          <w:numId w:val="11"/>
        </w:numPr>
        <w:adjustRightInd w:val="0"/>
        <w:spacing w:before="130"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适用标准</w:t>
      </w:r>
    </w:p>
    <w:p w14:paraId="395AE57D">
      <w:pPr>
        <w:pStyle w:val="13"/>
        <w:widowControl w:val="0"/>
        <w:adjustRightInd w:val="0"/>
        <w:spacing w:before="0" w:after="120" w:afterAutospacing="0" w:line="360" w:lineRule="auto"/>
        <w:ind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设计、采购、安装及服务等应执行以下最新版本的标准，并不限于以下标准：</w:t>
      </w:r>
    </w:p>
    <w:p w14:paraId="733FE2F0">
      <w:pPr>
        <w:pStyle w:val="13"/>
        <w:widowControl w:val="0"/>
        <w:adjustRightInd w:val="0"/>
        <w:spacing w:before="0" w:after="120" w:afterAutospacing="0" w:line="360" w:lineRule="auto"/>
        <w:ind w:left="220" w:leftChars="105" w:right="325" w:rightChars="155"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GB50210-2001   《建筑装饰工程施工及验收规范》</w:t>
      </w:r>
    </w:p>
    <w:p w14:paraId="25489BFC">
      <w:pPr>
        <w:pStyle w:val="13"/>
        <w:widowControl w:val="0"/>
        <w:adjustRightInd w:val="0"/>
        <w:spacing w:before="1" w:beforeAutospacing="0" w:after="120" w:afterAutospacing="0" w:line="360" w:lineRule="auto"/>
        <w:ind w:left="220" w:leftChars="105" w:right="548" w:rightChars="261"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GB50212-2002    建筑防腐蚀工程施工及验收规范</w:t>
      </w:r>
    </w:p>
    <w:p w14:paraId="7513C198">
      <w:pPr>
        <w:pStyle w:val="13"/>
        <w:widowControl w:val="0"/>
        <w:adjustRightInd w:val="0"/>
        <w:spacing w:before="0" w:after="120" w:afterAutospacing="0" w:line="360" w:lineRule="auto"/>
        <w:ind w:left="220" w:leftChars="105"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GB 50037-96      建筑地面设计规范</w:t>
      </w:r>
    </w:p>
    <w:p w14:paraId="21E08521">
      <w:pPr>
        <w:pStyle w:val="13"/>
        <w:widowControl w:val="0"/>
        <w:adjustRightInd w:val="0"/>
        <w:spacing w:before="0" w:after="120" w:afterAutospacing="0" w:line="360" w:lineRule="auto"/>
        <w:ind w:left="220" w:leftChars="105"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GB 50222-95      建筑内部装修设计防火规范</w:t>
      </w:r>
    </w:p>
    <w:p w14:paraId="1B116B4A">
      <w:pPr>
        <w:pStyle w:val="13"/>
        <w:widowControl w:val="0"/>
        <w:adjustRightInd w:val="0"/>
        <w:spacing w:before="70" w:beforeAutospacing="0" w:after="120" w:afterAutospacing="0" w:line="360" w:lineRule="auto"/>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9.3.2 产品与材料</w:t>
      </w:r>
    </w:p>
    <w:p w14:paraId="7D13A443">
      <w:pPr>
        <w:pStyle w:val="13"/>
        <w:widowControl w:val="0"/>
        <w:numPr>
          <w:ilvl w:val="1"/>
          <w:numId w:val="13"/>
        </w:numPr>
        <w:adjustRightInd w:val="0"/>
        <w:spacing w:before="130"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一般规定</w:t>
      </w:r>
    </w:p>
    <w:p w14:paraId="2C450050">
      <w:pPr>
        <w:pStyle w:val="13"/>
        <w:widowControl w:val="0"/>
        <w:numPr>
          <w:ilvl w:val="2"/>
          <w:numId w:val="11"/>
        </w:numPr>
        <w:adjustRightInd w:val="0"/>
        <w:spacing w:before="131"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承包商要对其所提供的材料及配套件的质量负责。</w:t>
      </w:r>
    </w:p>
    <w:p w14:paraId="7C1E7905">
      <w:pPr>
        <w:pStyle w:val="13"/>
        <w:widowControl w:val="0"/>
        <w:numPr>
          <w:ilvl w:val="2"/>
          <w:numId w:val="11"/>
        </w:numPr>
        <w:adjustRightInd w:val="0"/>
        <w:spacing w:before="131"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承包商要严格按照交付的施工图图纸、设计说明和国家标准、规范组织制造，以及有关标准与要求，确保工程质量，并接受工程监理，业主代表和业主的监督和检查。</w:t>
      </w:r>
    </w:p>
    <w:p w14:paraId="16EEF6DA">
      <w:pPr>
        <w:pStyle w:val="13"/>
        <w:widowControl w:val="0"/>
        <w:numPr>
          <w:ilvl w:val="2"/>
          <w:numId w:val="11"/>
        </w:numPr>
        <w:adjustRightInd w:val="0"/>
        <w:spacing w:before="131"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凡在实施强制性产品认证的产品目录内的产品必须具有3C认证。</w:t>
      </w:r>
    </w:p>
    <w:p w14:paraId="40DAE334">
      <w:pPr>
        <w:pStyle w:val="13"/>
        <w:widowControl w:val="0"/>
        <w:numPr>
          <w:ilvl w:val="2"/>
          <w:numId w:val="11"/>
        </w:numPr>
        <w:adjustRightInd w:val="0"/>
        <w:spacing w:before="131"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设备、材料、制造和测试应执行最新版本的中国标准</w:t>
      </w:r>
    </w:p>
    <w:p w14:paraId="5482238C">
      <w:pPr>
        <w:pStyle w:val="13"/>
        <w:widowControl w:val="0"/>
        <w:numPr>
          <w:ilvl w:val="2"/>
          <w:numId w:val="11"/>
        </w:numPr>
        <w:adjustRightInd w:val="0"/>
        <w:spacing w:before="131"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工程项目竣工验收由承包商提出验收申请，在条件具备时，以业主编制并经业主认定的验收大纲及国家的有关标准、规范对设备进行验收。对不符合验收标准的部分， 承包商负责整改，费用承包商自理。</w:t>
      </w:r>
    </w:p>
    <w:p w14:paraId="0C93BC9D">
      <w:pPr>
        <w:pStyle w:val="13"/>
        <w:widowControl w:val="0"/>
        <w:numPr>
          <w:ilvl w:val="2"/>
          <w:numId w:val="11"/>
        </w:numPr>
        <w:adjustRightInd w:val="0"/>
        <w:spacing w:before="131"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偏差</w:t>
      </w:r>
    </w:p>
    <w:p w14:paraId="0B0B259F">
      <w:pPr>
        <w:pStyle w:val="13"/>
        <w:widowControl w:val="0"/>
        <w:adjustRightInd w:val="0"/>
        <w:spacing w:before="131" w:beforeAutospacing="0" w:after="120" w:afterAutospacing="0" w:line="360" w:lineRule="auto"/>
        <w:ind w:right="334" w:rightChars="159"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承包商应完全按照技术文件和图纸的要求执行。任何建议的偏差，或者可选的建议， 应清晰的在标书中描述。只有当这些偏差被证明为有重大意义成本降低或更可靠或  相等的品质时，偏差才会被考虑。</w:t>
      </w:r>
    </w:p>
    <w:p w14:paraId="54476E5A">
      <w:pPr>
        <w:pStyle w:val="13"/>
        <w:widowControl w:val="0"/>
        <w:numPr>
          <w:ilvl w:val="2"/>
          <w:numId w:val="11"/>
        </w:numPr>
        <w:adjustRightInd w:val="0"/>
        <w:spacing w:before="131"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技术澄清</w:t>
      </w:r>
    </w:p>
    <w:p w14:paraId="0A4CBC46">
      <w:pPr>
        <w:pStyle w:val="13"/>
        <w:widowControl w:val="0"/>
        <w:adjustRightInd w:val="0"/>
        <w:spacing w:before="131" w:beforeAutospacing="0" w:after="120" w:afterAutospacing="0" w:line="360" w:lineRule="auto"/>
        <w:ind w:right="334" w:rightChars="159"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当图纸、技术要求与其他招标文件有冲突时，承包商应提交正式的书面工作联系函由业主决定。</w:t>
      </w:r>
    </w:p>
    <w:p w14:paraId="4CF9059B">
      <w:pPr>
        <w:pStyle w:val="13"/>
        <w:widowControl w:val="0"/>
        <w:numPr>
          <w:ilvl w:val="2"/>
          <w:numId w:val="11"/>
        </w:numPr>
        <w:adjustRightInd w:val="0"/>
        <w:spacing w:before="131"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颜色由施工方做样块，业主选定。</w:t>
      </w:r>
    </w:p>
    <w:p w14:paraId="0370D4D0">
      <w:pPr>
        <w:pStyle w:val="13"/>
        <w:widowControl w:val="0"/>
        <w:numPr>
          <w:ilvl w:val="1"/>
          <w:numId w:val="13"/>
        </w:numPr>
        <w:adjustRightInd w:val="0"/>
        <w:spacing w:before="130"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技术要求</w:t>
      </w:r>
    </w:p>
    <w:p w14:paraId="3FF99FFF">
      <w:pPr>
        <w:pStyle w:val="13"/>
        <w:widowControl w:val="0"/>
        <w:numPr>
          <w:ilvl w:val="2"/>
          <w:numId w:val="13"/>
        </w:numPr>
        <w:adjustRightInd w:val="0"/>
        <w:spacing w:before="130"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混凝土耐磨地面</w:t>
      </w:r>
    </w:p>
    <w:p w14:paraId="575B2DEE">
      <w:pPr>
        <w:pStyle w:val="13"/>
        <w:widowControl w:val="0"/>
        <w:numPr>
          <w:ilvl w:val="3"/>
          <w:numId w:val="11"/>
        </w:numPr>
        <w:adjustRightInd w:val="0"/>
        <w:spacing w:before="130"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表面撒布合金骨料。</w:t>
      </w:r>
    </w:p>
    <w:p w14:paraId="6929EADD">
      <w:pPr>
        <w:pStyle w:val="13"/>
        <w:widowControl w:val="0"/>
        <w:numPr>
          <w:ilvl w:val="3"/>
          <w:numId w:val="11"/>
        </w:numPr>
        <w:adjustRightInd w:val="0"/>
        <w:spacing w:before="130"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现浇细石混凝土地坪(参见施工图)。激光整平机机器抹光，保证平整度满足标准。</w:t>
      </w:r>
    </w:p>
    <w:p w14:paraId="00ED3ADA">
      <w:pPr>
        <w:pStyle w:val="13"/>
        <w:widowControl w:val="0"/>
        <w:numPr>
          <w:ilvl w:val="2"/>
          <w:numId w:val="13"/>
        </w:numPr>
        <w:adjustRightInd w:val="0"/>
        <w:spacing w:before="130"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混凝土密封固化剂地面</w:t>
      </w:r>
    </w:p>
    <w:p w14:paraId="58593F0F">
      <w:pPr>
        <w:pStyle w:val="13"/>
        <w:widowControl w:val="0"/>
        <w:numPr>
          <w:ilvl w:val="0"/>
          <w:numId w:val="14"/>
        </w:numPr>
        <w:adjustRightInd w:val="0"/>
        <w:spacing w:before="123"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刷混凝土密封固化剂。</w:t>
      </w:r>
    </w:p>
    <w:p w14:paraId="5A316DCC">
      <w:pPr>
        <w:pStyle w:val="13"/>
        <w:widowControl w:val="0"/>
        <w:numPr>
          <w:ilvl w:val="0"/>
          <w:numId w:val="14"/>
        </w:numPr>
        <w:adjustRightInd w:val="0"/>
        <w:spacing w:before="123"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现浇钢筋混凝土耐磨地坪。机器抹光，保证平整度满足标准。</w:t>
      </w:r>
    </w:p>
    <w:p w14:paraId="3154A3A1">
      <w:pPr>
        <w:pStyle w:val="13"/>
        <w:widowControl w:val="0"/>
        <w:numPr>
          <w:ilvl w:val="0"/>
          <w:numId w:val="14"/>
        </w:numPr>
        <w:adjustRightInd w:val="0"/>
        <w:spacing w:before="123"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地面系统颜色：按照业主要求，施工前请业主确认。</w:t>
      </w:r>
    </w:p>
    <w:p w14:paraId="3E155B6C">
      <w:pPr>
        <w:pStyle w:val="13"/>
        <w:widowControl w:val="0"/>
        <w:numPr>
          <w:ilvl w:val="2"/>
          <w:numId w:val="13"/>
        </w:numPr>
        <w:adjustRightInd w:val="0"/>
        <w:spacing w:before="130" w:beforeAutospacing="0" w:after="0" w:afterAutospacing="0" w:line="360" w:lineRule="auto"/>
        <w:ind w:left="0" w:firstLine="420" w:firstLine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环氧地面</w:t>
      </w:r>
    </w:p>
    <w:p w14:paraId="2991C8B2">
      <w:pPr>
        <w:pStyle w:val="13"/>
        <w:widowControl w:val="0"/>
        <w:adjustRightInd w:val="0"/>
        <w:spacing w:before="123" w:beforeAutospacing="0" w:after="120" w:afterAutospacing="0" w:line="360" w:lineRule="auto"/>
        <w:ind w:left="420" w:leftChars="200"/>
        <w:contextualSpacing/>
        <w:jc w:val="both"/>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1、素地处理</w:t>
      </w:r>
      <w:r>
        <w:rPr>
          <w:rFonts w:hint="eastAsia" w:asciiTheme="minorEastAsia" w:hAnsiTheme="minorEastAsia" w:eastAsiaTheme="minorEastAsia" w:cstheme="minorEastAsia"/>
          <w:b w:val="0"/>
          <w:bCs w:val="0"/>
          <w:kern w:val="2"/>
          <w:sz w:val="21"/>
          <w:szCs w:val="21"/>
          <w:lang w:val="en-US" w:eastAsia="zh-CN" w:bidi="ar-SA"/>
        </w:rPr>
        <w:br w:type="textWrapping"/>
      </w:r>
      <w:r>
        <w:rPr>
          <w:rFonts w:hint="eastAsia" w:asciiTheme="minorEastAsia" w:hAnsiTheme="minorEastAsia" w:eastAsiaTheme="minorEastAsia" w:cstheme="minorEastAsia"/>
          <w:b w:val="0"/>
          <w:bCs w:val="0"/>
          <w:kern w:val="2"/>
          <w:sz w:val="21"/>
          <w:szCs w:val="21"/>
          <w:lang w:val="en-US" w:eastAsia="zh-CN" w:bidi="ar-SA"/>
        </w:rPr>
        <w:t>①基础素地以水泥粉光面或磨石地为准;</w:t>
      </w:r>
      <w:r>
        <w:rPr>
          <w:rFonts w:hint="eastAsia" w:asciiTheme="minorEastAsia" w:hAnsiTheme="minorEastAsia" w:eastAsiaTheme="minorEastAsia" w:cstheme="minorEastAsia"/>
          <w:b w:val="0"/>
          <w:bCs w:val="0"/>
          <w:kern w:val="2"/>
          <w:sz w:val="21"/>
          <w:szCs w:val="21"/>
          <w:lang w:val="en-US" w:eastAsia="zh-CN" w:bidi="ar-SA"/>
        </w:rPr>
        <w:br w:type="textWrapping"/>
      </w:r>
      <w:r>
        <w:rPr>
          <w:rFonts w:hint="eastAsia" w:asciiTheme="minorEastAsia" w:hAnsiTheme="minorEastAsia" w:eastAsiaTheme="minorEastAsia" w:cstheme="minorEastAsia"/>
          <w:b w:val="0"/>
          <w:bCs w:val="0"/>
          <w:kern w:val="2"/>
          <w:sz w:val="21"/>
          <w:szCs w:val="21"/>
          <w:lang w:val="en-US" w:eastAsia="zh-CN" w:bidi="ar-SA"/>
        </w:rPr>
        <w:t>②素地需养生28天以上，水份需8%以下方可施工素地如有不平或空鼓需加以除去;</w:t>
      </w:r>
      <w:r>
        <w:rPr>
          <w:rFonts w:hint="eastAsia" w:asciiTheme="minorEastAsia" w:hAnsiTheme="minorEastAsia" w:eastAsiaTheme="minorEastAsia" w:cstheme="minorEastAsia"/>
          <w:b w:val="0"/>
          <w:bCs w:val="0"/>
          <w:kern w:val="2"/>
          <w:sz w:val="21"/>
          <w:szCs w:val="21"/>
          <w:lang w:val="en-US" w:eastAsia="zh-CN" w:bidi="ar-SA"/>
        </w:rPr>
        <w:br w:type="textWrapping"/>
      </w:r>
      <w:r>
        <w:rPr>
          <w:rFonts w:hint="eastAsia" w:asciiTheme="minorEastAsia" w:hAnsiTheme="minorEastAsia" w:eastAsiaTheme="minorEastAsia" w:cstheme="minorEastAsia"/>
          <w:b w:val="0"/>
          <w:bCs w:val="0"/>
          <w:kern w:val="2"/>
          <w:sz w:val="21"/>
          <w:szCs w:val="21"/>
          <w:lang w:val="en-US" w:eastAsia="zh-CN" w:bidi="ar-SA"/>
        </w:rPr>
        <w:t>③用环氧砂浆补平地面;</w:t>
      </w:r>
      <w:r>
        <w:rPr>
          <w:rFonts w:hint="eastAsia" w:asciiTheme="minorEastAsia" w:hAnsiTheme="minorEastAsia" w:eastAsiaTheme="minorEastAsia" w:cstheme="minorEastAsia"/>
          <w:b w:val="0"/>
          <w:bCs w:val="0"/>
          <w:kern w:val="2"/>
          <w:sz w:val="21"/>
          <w:szCs w:val="21"/>
          <w:lang w:val="en-US" w:eastAsia="zh-CN" w:bidi="ar-SA"/>
        </w:rPr>
        <w:br w:type="textWrapping"/>
      </w:r>
      <w:r>
        <w:rPr>
          <w:rFonts w:hint="eastAsia" w:asciiTheme="minorEastAsia" w:hAnsiTheme="minorEastAsia" w:eastAsiaTheme="minorEastAsia" w:cstheme="minorEastAsia"/>
          <w:b w:val="0"/>
          <w:bCs w:val="0"/>
          <w:kern w:val="2"/>
          <w:sz w:val="21"/>
          <w:szCs w:val="21"/>
          <w:lang w:val="en-US" w:eastAsia="zh-CN" w:bidi="ar-SA"/>
        </w:rPr>
        <w:t>④素地之油污需澈底清洗干净;</w:t>
      </w:r>
      <w:r>
        <w:rPr>
          <w:rFonts w:hint="eastAsia" w:asciiTheme="minorEastAsia" w:hAnsiTheme="minorEastAsia" w:eastAsiaTheme="minorEastAsia" w:cstheme="minorEastAsia"/>
          <w:b w:val="0"/>
          <w:bCs w:val="0"/>
          <w:kern w:val="2"/>
          <w:sz w:val="21"/>
          <w:szCs w:val="21"/>
          <w:lang w:val="en-US" w:eastAsia="zh-CN" w:bidi="ar-SA"/>
        </w:rPr>
        <w:br w:type="textWrapping"/>
      </w:r>
      <w:r>
        <w:rPr>
          <w:rFonts w:hint="eastAsia" w:asciiTheme="minorEastAsia" w:hAnsiTheme="minorEastAsia" w:eastAsiaTheme="minorEastAsia" w:cstheme="minorEastAsia"/>
          <w:b w:val="0"/>
          <w:bCs w:val="0"/>
          <w:kern w:val="2"/>
          <w:sz w:val="21"/>
          <w:szCs w:val="21"/>
          <w:lang w:val="en-US" w:eastAsia="zh-CN" w:bidi="ar-SA"/>
        </w:rPr>
        <w:t>⑤施工前需保持施工素地之干燥和清洁;</w:t>
      </w:r>
      <w:r>
        <w:rPr>
          <w:rFonts w:hint="eastAsia" w:asciiTheme="minorEastAsia" w:hAnsiTheme="minorEastAsia" w:eastAsiaTheme="minorEastAsia" w:cstheme="minorEastAsia"/>
          <w:b w:val="0"/>
          <w:bCs w:val="0"/>
          <w:kern w:val="2"/>
          <w:sz w:val="21"/>
          <w:szCs w:val="21"/>
          <w:lang w:val="en-US" w:eastAsia="zh-CN" w:bidi="ar-SA"/>
        </w:rPr>
        <w:br w:type="textWrapping"/>
      </w:r>
      <w:r>
        <w:rPr>
          <w:rFonts w:hint="eastAsia" w:asciiTheme="minorEastAsia" w:hAnsiTheme="minorEastAsia" w:eastAsiaTheme="minorEastAsia" w:cstheme="minorEastAsia"/>
          <w:b w:val="0"/>
          <w:bCs w:val="0"/>
          <w:kern w:val="2"/>
          <w:sz w:val="21"/>
          <w:szCs w:val="21"/>
          <w:lang w:val="en-US" w:eastAsia="zh-CN" w:bidi="ar-SA"/>
        </w:rPr>
        <w:t>2、底涂层</w:t>
      </w:r>
      <w:r>
        <w:rPr>
          <w:rFonts w:hint="eastAsia" w:asciiTheme="minorEastAsia" w:hAnsiTheme="minorEastAsia" w:eastAsiaTheme="minorEastAsia" w:cstheme="minorEastAsia"/>
          <w:b w:val="0"/>
          <w:bCs w:val="0"/>
          <w:kern w:val="2"/>
          <w:sz w:val="21"/>
          <w:szCs w:val="21"/>
          <w:lang w:val="en-US" w:eastAsia="zh-CN" w:bidi="ar-SA"/>
        </w:rPr>
        <w:br w:type="textWrapping"/>
      </w:r>
      <w:r>
        <w:rPr>
          <w:rFonts w:hint="eastAsia" w:asciiTheme="minorEastAsia" w:hAnsiTheme="minorEastAsia" w:eastAsiaTheme="minorEastAsia" w:cstheme="minorEastAsia"/>
          <w:b w:val="0"/>
          <w:bCs w:val="0"/>
          <w:kern w:val="2"/>
          <w:sz w:val="21"/>
          <w:szCs w:val="21"/>
          <w:lang w:val="en-US" w:eastAsia="zh-CN" w:bidi="ar-SA"/>
        </w:rPr>
        <w:t>①施工前需保持干净如有杂物粘附需清除依照正确比例将主剂及硬化剂混合，充分搅拌;</w:t>
      </w:r>
      <w:r>
        <w:rPr>
          <w:rFonts w:hint="eastAsia" w:asciiTheme="minorEastAsia" w:hAnsiTheme="minorEastAsia" w:eastAsiaTheme="minorEastAsia" w:cstheme="minorEastAsia"/>
          <w:b w:val="0"/>
          <w:bCs w:val="0"/>
          <w:kern w:val="2"/>
          <w:sz w:val="21"/>
          <w:szCs w:val="21"/>
          <w:lang w:val="en-US" w:eastAsia="zh-CN" w:bidi="ar-SA"/>
        </w:rPr>
        <w:br w:type="textWrapping"/>
      </w:r>
      <w:r>
        <w:rPr>
          <w:rFonts w:hint="eastAsia" w:asciiTheme="minorEastAsia" w:hAnsiTheme="minorEastAsia" w:eastAsiaTheme="minorEastAsia" w:cstheme="minorEastAsia"/>
          <w:b w:val="0"/>
          <w:bCs w:val="0"/>
          <w:kern w:val="2"/>
          <w:sz w:val="21"/>
          <w:szCs w:val="21"/>
          <w:lang w:val="en-US" w:eastAsia="zh-CN" w:bidi="ar-SA"/>
        </w:rPr>
        <w:t>②需视地面情况调整适当粘度混合完成材料需4小时以内施工完成;</w:t>
      </w:r>
      <w:r>
        <w:rPr>
          <w:rFonts w:hint="eastAsia" w:asciiTheme="minorEastAsia" w:hAnsiTheme="minorEastAsia" w:eastAsiaTheme="minorEastAsia" w:cstheme="minorEastAsia"/>
          <w:b w:val="0"/>
          <w:bCs w:val="0"/>
          <w:kern w:val="2"/>
          <w:sz w:val="21"/>
          <w:szCs w:val="21"/>
          <w:lang w:val="en-US" w:eastAsia="zh-CN" w:bidi="ar-SA"/>
        </w:rPr>
        <w:br w:type="textWrapping"/>
      </w:r>
      <w:r>
        <w:rPr>
          <w:rFonts w:hint="eastAsia" w:asciiTheme="minorEastAsia" w:hAnsiTheme="minorEastAsia" w:eastAsiaTheme="minorEastAsia" w:cstheme="minorEastAsia"/>
          <w:b w:val="0"/>
          <w:bCs w:val="0"/>
          <w:kern w:val="2"/>
          <w:sz w:val="21"/>
          <w:szCs w:val="21"/>
          <w:lang w:val="en-US" w:eastAsia="zh-CN" w:bidi="ar-SA"/>
        </w:rPr>
        <w:t>③底涂层养生硬化时间约8小时以上。</w:t>
      </w:r>
      <w:r>
        <w:rPr>
          <w:rFonts w:hint="eastAsia" w:asciiTheme="minorEastAsia" w:hAnsiTheme="minorEastAsia" w:eastAsiaTheme="minorEastAsia" w:cstheme="minorEastAsia"/>
          <w:b w:val="0"/>
          <w:bCs w:val="0"/>
          <w:kern w:val="2"/>
          <w:sz w:val="21"/>
          <w:szCs w:val="21"/>
          <w:lang w:val="en-US" w:eastAsia="zh-CN" w:bidi="ar-SA"/>
        </w:rPr>
        <w:br w:type="textWrapping"/>
      </w:r>
      <w:r>
        <w:rPr>
          <w:rFonts w:hint="eastAsia" w:asciiTheme="minorEastAsia" w:hAnsiTheme="minorEastAsia" w:eastAsiaTheme="minorEastAsia" w:cstheme="minorEastAsia"/>
          <w:b w:val="0"/>
          <w:bCs w:val="0"/>
          <w:kern w:val="2"/>
          <w:sz w:val="21"/>
          <w:szCs w:val="21"/>
          <w:lang w:val="en-US" w:eastAsia="zh-CN" w:bidi="ar-SA"/>
        </w:rPr>
        <w:t>3、中涂层</w:t>
      </w:r>
      <w:r>
        <w:rPr>
          <w:rFonts w:hint="eastAsia" w:asciiTheme="minorEastAsia" w:hAnsiTheme="minorEastAsia" w:eastAsiaTheme="minorEastAsia" w:cstheme="minorEastAsia"/>
          <w:b w:val="0"/>
          <w:bCs w:val="0"/>
          <w:kern w:val="2"/>
          <w:sz w:val="21"/>
          <w:szCs w:val="21"/>
          <w:lang w:val="en-US" w:eastAsia="zh-CN" w:bidi="ar-SA"/>
        </w:rPr>
        <w:br w:type="textWrapping"/>
      </w:r>
      <w:r>
        <w:rPr>
          <w:rFonts w:hint="eastAsia" w:asciiTheme="minorEastAsia" w:hAnsiTheme="minorEastAsia" w:eastAsiaTheme="minorEastAsia" w:cstheme="minorEastAsia"/>
          <w:b w:val="0"/>
          <w:bCs w:val="0"/>
          <w:kern w:val="2"/>
          <w:sz w:val="21"/>
          <w:szCs w:val="21"/>
          <w:lang w:val="en-US" w:eastAsia="zh-CN" w:bidi="ar-SA"/>
        </w:rPr>
        <w:t>①施工前需要保持干净如有杂物粘附需清除依照正确比例将主剂及硬化剂混合，充分搅拌;</w:t>
      </w:r>
      <w:r>
        <w:rPr>
          <w:rFonts w:hint="eastAsia" w:asciiTheme="minorEastAsia" w:hAnsiTheme="minorEastAsia" w:eastAsiaTheme="minorEastAsia" w:cstheme="minorEastAsia"/>
          <w:b w:val="0"/>
          <w:bCs w:val="0"/>
          <w:kern w:val="2"/>
          <w:sz w:val="21"/>
          <w:szCs w:val="21"/>
          <w:lang w:val="en-US" w:eastAsia="zh-CN" w:bidi="ar-SA"/>
        </w:rPr>
        <w:br w:type="textWrapping"/>
      </w:r>
      <w:r>
        <w:rPr>
          <w:rFonts w:hint="eastAsia" w:asciiTheme="minorEastAsia" w:hAnsiTheme="minorEastAsia" w:eastAsiaTheme="minorEastAsia" w:cstheme="minorEastAsia"/>
          <w:b w:val="0"/>
          <w:bCs w:val="0"/>
          <w:kern w:val="2"/>
          <w:sz w:val="21"/>
          <w:szCs w:val="21"/>
          <w:lang w:val="en-US" w:eastAsia="zh-CN" w:bidi="ar-SA"/>
        </w:rPr>
        <w:t>②将混合完成的树脂适量加入石英砂;</w:t>
      </w:r>
      <w:r>
        <w:rPr>
          <w:rFonts w:hint="eastAsia" w:asciiTheme="minorEastAsia" w:hAnsiTheme="minorEastAsia" w:eastAsiaTheme="minorEastAsia" w:cstheme="minorEastAsia"/>
          <w:b w:val="0"/>
          <w:bCs w:val="0"/>
          <w:kern w:val="2"/>
          <w:sz w:val="21"/>
          <w:szCs w:val="21"/>
          <w:lang w:val="en-US" w:eastAsia="zh-CN" w:bidi="ar-SA"/>
        </w:rPr>
        <w:br w:type="textWrapping"/>
      </w:r>
      <w:r>
        <w:rPr>
          <w:rFonts w:hint="eastAsia" w:asciiTheme="minorEastAsia" w:hAnsiTheme="minorEastAsia" w:eastAsiaTheme="minorEastAsia" w:cstheme="minorEastAsia"/>
          <w:b w:val="0"/>
          <w:bCs w:val="0"/>
          <w:kern w:val="2"/>
          <w:sz w:val="21"/>
          <w:szCs w:val="21"/>
          <w:lang w:val="en-US" w:eastAsia="zh-CN" w:bidi="ar-SA"/>
        </w:rPr>
        <w:t>③使用镘刀将材料均匀涂布;</w:t>
      </w:r>
      <w:r>
        <w:rPr>
          <w:rFonts w:hint="eastAsia" w:asciiTheme="minorEastAsia" w:hAnsiTheme="minorEastAsia" w:eastAsiaTheme="minorEastAsia" w:cstheme="minorEastAsia"/>
          <w:b w:val="0"/>
          <w:bCs w:val="0"/>
          <w:kern w:val="2"/>
          <w:sz w:val="21"/>
          <w:szCs w:val="21"/>
          <w:lang w:val="en-US" w:eastAsia="zh-CN" w:bidi="ar-SA"/>
        </w:rPr>
        <w:br w:type="textWrapping"/>
      </w:r>
      <w:r>
        <w:rPr>
          <w:rFonts w:hint="eastAsia" w:asciiTheme="minorEastAsia" w:hAnsiTheme="minorEastAsia" w:eastAsiaTheme="minorEastAsia" w:cstheme="minorEastAsia"/>
          <w:b w:val="0"/>
          <w:bCs w:val="0"/>
          <w:kern w:val="2"/>
          <w:sz w:val="21"/>
          <w:szCs w:val="21"/>
          <w:lang w:val="en-US" w:eastAsia="zh-CN" w:bidi="ar-SA"/>
        </w:rPr>
        <w:t>④混合完成材料需30分钟以内施工完成;</w:t>
      </w:r>
      <w:r>
        <w:rPr>
          <w:rFonts w:hint="eastAsia" w:asciiTheme="minorEastAsia" w:hAnsiTheme="minorEastAsia" w:eastAsiaTheme="minorEastAsia" w:cstheme="minorEastAsia"/>
          <w:b w:val="0"/>
          <w:bCs w:val="0"/>
          <w:kern w:val="2"/>
          <w:sz w:val="21"/>
          <w:szCs w:val="21"/>
          <w:lang w:val="en-US" w:eastAsia="zh-CN" w:bidi="ar-SA"/>
        </w:rPr>
        <w:br w:type="textWrapping"/>
      </w:r>
      <w:r>
        <w:rPr>
          <w:rFonts w:hint="eastAsia" w:asciiTheme="minorEastAsia" w:hAnsiTheme="minorEastAsia" w:eastAsiaTheme="minorEastAsia" w:cstheme="minorEastAsia"/>
          <w:b w:val="0"/>
          <w:bCs w:val="0"/>
          <w:kern w:val="2"/>
          <w:sz w:val="21"/>
          <w:szCs w:val="21"/>
          <w:lang w:val="en-US" w:eastAsia="zh-CN" w:bidi="ar-SA"/>
        </w:rPr>
        <w:t>⑤施工交接处做好交接处理;</w:t>
      </w:r>
      <w:r>
        <w:rPr>
          <w:rFonts w:hint="eastAsia" w:asciiTheme="minorEastAsia" w:hAnsiTheme="minorEastAsia" w:eastAsiaTheme="minorEastAsia" w:cstheme="minorEastAsia"/>
          <w:b w:val="0"/>
          <w:bCs w:val="0"/>
          <w:kern w:val="2"/>
          <w:sz w:val="21"/>
          <w:szCs w:val="21"/>
          <w:lang w:val="en-US" w:eastAsia="zh-CN" w:bidi="ar-SA"/>
        </w:rPr>
        <w:br w:type="textWrapping"/>
      </w:r>
      <w:r>
        <w:rPr>
          <w:rFonts w:hint="eastAsia" w:asciiTheme="minorEastAsia" w:hAnsiTheme="minorEastAsia" w:eastAsiaTheme="minorEastAsia" w:cstheme="minorEastAsia"/>
          <w:b w:val="0"/>
          <w:bCs w:val="0"/>
          <w:kern w:val="2"/>
          <w:sz w:val="21"/>
          <w:szCs w:val="21"/>
          <w:lang w:val="en-US" w:eastAsia="zh-CN" w:bidi="ar-SA"/>
        </w:rPr>
        <w:t>⑥中涂层养生硬化时间约8小时以上。</w:t>
      </w:r>
      <w:r>
        <w:rPr>
          <w:rFonts w:hint="eastAsia" w:asciiTheme="minorEastAsia" w:hAnsiTheme="minorEastAsia" w:eastAsiaTheme="minorEastAsia" w:cstheme="minorEastAsia"/>
          <w:b w:val="0"/>
          <w:bCs w:val="0"/>
          <w:kern w:val="2"/>
          <w:sz w:val="21"/>
          <w:szCs w:val="21"/>
          <w:lang w:val="en-US" w:eastAsia="zh-CN" w:bidi="ar-SA"/>
        </w:rPr>
        <w:br w:type="textWrapping"/>
      </w:r>
      <w:r>
        <w:rPr>
          <w:rFonts w:hint="eastAsia" w:asciiTheme="minorEastAsia" w:hAnsiTheme="minorEastAsia" w:eastAsiaTheme="minorEastAsia" w:cstheme="minorEastAsia"/>
          <w:b w:val="0"/>
          <w:bCs w:val="0"/>
          <w:kern w:val="2"/>
          <w:sz w:val="21"/>
          <w:szCs w:val="21"/>
          <w:lang w:val="en-US" w:eastAsia="zh-CN" w:bidi="ar-SA"/>
        </w:rPr>
        <w:t>4、批土层</w:t>
      </w:r>
      <w:r>
        <w:rPr>
          <w:rFonts w:hint="eastAsia" w:asciiTheme="minorEastAsia" w:hAnsiTheme="minorEastAsia" w:eastAsiaTheme="minorEastAsia" w:cstheme="minorEastAsia"/>
          <w:b w:val="0"/>
          <w:bCs w:val="0"/>
          <w:kern w:val="2"/>
          <w:sz w:val="21"/>
          <w:szCs w:val="21"/>
          <w:lang w:val="en-US" w:eastAsia="zh-CN" w:bidi="ar-SA"/>
        </w:rPr>
        <w:br w:type="textWrapping"/>
      </w:r>
      <w:r>
        <w:rPr>
          <w:rFonts w:hint="eastAsia" w:asciiTheme="minorEastAsia" w:hAnsiTheme="minorEastAsia" w:eastAsiaTheme="minorEastAsia" w:cstheme="minorEastAsia"/>
          <w:b w:val="0"/>
          <w:bCs w:val="0"/>
          <w:kern w:val="2"/>
          <w:sz w:val="21"/>
          <w:szCs w:val="21"/>
          <w:lang w:val="en-US" w:eastAsia="zh-CN" w:bidi="ar-SA"/>
        </w:rPr>
        <w:t>①依照正确比例将主剂及硬化剂混合，充分搅拌;</w:t>
      </w:r>
      <w:r>
        <w:rPr>
          <w:rFonts w:hint="eastAsia" w:asciiTheme="minorEastAsia" w:hAnsiTheme="minorEastAsia" w:eastAsiaTheme="minorEastAsia" w:cstheme="minorEastAsia"/>
          <w:b w:val="0"/>
          <w:bCs w:val="0"/>
          <w:kern w:val="2"/>
          <w:sz w:val="21"/>
          <w:szCs w:val="21"/>
          <w:lang w:val="en-US" w:eastAsia="zh-CN" w:bidi="ar-SA"/>
        </w:rPr>
        <w:br w:type="textWrapping"/>
      </w:r>
      <w:r>
        <w:rPr>
          <w:rFonts w:hint="eastAsia" w:asciiTheme="minorEastAsia" w:hAnsiTheme="minorEastAsia" w:eastAsiaTheme="minorEastAsia" w:cstheme="minorEastAsia"/>
          <w:b w:val="0"/>
          <w:bCs w:val="0"/>
          <w:kern w:val="2"/>
          <w:sz w:val="21"/>
          <w:szCs w:val="21"/>
          <w:lang w:val="en-US" w:eastAsia="zh-CN" w:bidi="ar-SA"/>
        </w:rPr>
        <w:t>②使用批刀将材料涂布均匀;</w:t>
      </w:r>
      <w:r>
        <w:rPr>
          <w:rFonts w:hint="eastAsia" w:asciiTheme="minorEastAsia" w:hAnsiTheme="minorEastAsia" w:eastAsiaTheme="minorEastAsia" w:cstheme="minorEastAsia"/>
          <w:b w:val="0"/>
          <w:bCs w:val="0"/>
          <w:kern w:val="2"/>
          <w:sz w:val="21"/>
          <w:szCs w:val="21"/>
          <w:lang w:val="en-US" w:eastAsia="zh-CN" w:bidi="ar-SA"/>
        </w:rPr>
        <w:br w:type="textWrapping"/>
      </w:r>
      <w:r>
        <w:rPr>
          <w:rFonts w:hint="eastAsia" w:asciiTheme="minorEastAsia" w:hAnsiTheme="minorEastAsia" w:eastAsiaTheme="minorEastAsia" w:cstheme="minorEastAsia"/>
          <w:b w:val="0"/>
          <w:bCs w:val="0"/>
          <w:kern w:val="2"/>
          <w:sz w:val="21"/>
          <w:szCs w:val="21"/>
          <w:lang w:val="en-US" w:eastAsia="zh-CN" w:bidi="ar-SA"/>
        </w:rPr>
        <w:t>③混合完成材料需30分钟内施工完成;</w:t>
      </w:r>
      <w:r>
        <w:rPr>
          <w:rFonts w:hint="eastAsia" w:asciiTheme="minorEastAsia" w:hAnsiTheme="minorEastAsia" w:eastAsiaTheme="minorEastAsia" w:cstheme="minorEastAsia"/>
          <w:b w:val="0"/>
          <w:bCs w:val="0"/>
          <w:kern w:val="2"/>
          <w:sz w:val="21"/>
          <w:szCs w:val="21"/>
          <w:lang w:val="en-US" w:eastAsia="zh-CN" w:bidi="ar-SA"/>
        </w:rPr>
        <w:br w:type="textWrapping"/>
      </w:r>
      <w:r>
        <w:rPr>
          <w:rFonts w:hint="eastAsia" w:asciiTheme="minorEastAsia" w:hAnsiTheme="minorEastAsia" w:eastAsiaTheme="minorEastAsia" w:cstheme="minorEastAsia"/>
          <w:b w:val="0"/>
          <w:bCs w:val="0"/>
          <w:kern w:val="2"/>
          <w:sz w:val="21"/>
          <w:szCs w:val="21"/>
          <w:lang w:val="en-US" w:eastAsia="zh-CN" w:bidi="ar-SA"/>
        </w:rPr>
        <w:t>④批土养生硬化时间约8小时以上;</w:t>
      </w:r>
      <w:r>
        <w:rPr>
          <w:rFonts w:hint="eastAsia" w:asciiTheme="minorEastAsia" w:hAnsiTheme="minorEastAsia" w:eastAsiaTheme="minorEastAsia" w:cstheme="minorEastAsia"/>
          <w:b w:val="0"/>
          <w:bCs w:val="0"/>
          <w:kern w:val="2"/>
          <w:sz w:val="21"/>
          <w:szCs w:val="21"/>
          <w:lang w:val="en-US" w:eastAsia="zh-CN" w:bidi="ar-SA"/>
        </w:rPr>
        <w:br w:type="textWrapping"/>
      </w:r>
      <w:r>
        <w:rPr>
          <w:rFonts w:hint="eastAsia" w:asciiTheme="minorEastAsia" w:hAnsiTheme="minorEastAsia" w:eastAsiaTheme="minorEastAsia" w:cstheme="minorEastAsia"/>
          <w:b w:val="0"/>
          <w:bCs w:val="0"/>
          <w:kern w:val="2"/>
          <w:sz w:val="21"/>
          <w:szCs w:val="21"/>
          <w:lang w:val="en-US" w:eastAsia="zh-CN" w:bidi="ar-SA"/>
        </w:rPr>
        <w:t>⑤视实际需要施工数道要求达到平整无孔洞，无批刀印及砂磨印为准。</w:t>
      </w:r>
      <w:r>
        <w:rPr>
          <w:rFonts w:hint="eastAsia" w:asciiTheme="minorEastAsia" w:hAnsiTheme="minorEastAsia" w:eastAsiaTheme="minorEastAsia" w:cstheme="minorEastAsia"/>
          <w:b w:val="0"/>
          <w:bCs w:val="0"/>
          <w:kern w:val="2"/>
          <w:sz w:val="21"/>
          <w:szCs w:val="21"/>
          <w:lang w:val="en-US" w:eastAsia="zh-CN" w:bidi="ar-SA"/>
        </w:rPr>
        <w:br w:type="textWrapping"/>
      </w:r>
      <w:r>
        <w:rPr>
          <w:rFonts w:hint="eastAsia" w:asciiTheme="minorEastAsia" w:hAnsiTheme="minorEastAsia" w:eastAsiaTheme="minorEastAsia" w:cstheme="minorEastAsia"/>
          <w:b w:val="0"/>
          <w:bCs w:val="0"/>
          <w:kern w:val="2"/>
          <w:sz w:val="21"/>
          <w:szCs w:val="21"/>
          <w:lang w:val="en-US" w:eastAsia="zh-CN" w:bidi="ar-SA"/>
        </w:rPr>
        <w:t>5、面涂层</w:t>
      </w:r>
      <w:r>
        <w:rPr>
          <w:rFonts w:hint="eastAsia" w:asciiTheme="minorEastAsia" w:hAnsiTheme="minorEastAsia" w:eastAsiaTheme="minorEastAsia" w:cstheme="minorEastAsia"/>
          <w:b w:val="0"/>
          <w:bCs w:val="0"/>
          <w:kern w:val="2"/>
          <w:sz w:val="21"/>
          <w:szCs w:val="21"/>
          <w:lang w:val="en-US" w:eastAsia="zh-CN" w:bidi="ar-SA"/>
        </w:rPr>
        <w:br w:type="textWrapping"/>
      </w:r>
      <w:r>
        <w:rPr>
          <w:rFonts w:hint="eastAsia" w:asciiTheme="minorEastAsia" w:hAnsiTheme="minorEastAsia" w:eastAsiaTheme="minorEastAsia" w:cstheme="minorEastAsia"/>
          <w:b w:val="0"/>
          <w:bCs w:val="0"/>
          <w:kern w:val="2"/>
          <w:sz w:val="21"/>
          <w:szCs w:val="21"/>
          <w:lang w:val="en-US" w:eastAsia="zh-CN" w:bidi="ar-SA"/>
        </w:rPr>
        <w:t>①施工前需保持干净如有杂物粘附需清除;</w:t>
      </w:r>
      <w:r>
        <w:rPr>
          <w:rFonts w:hint="eastAsia" w:asciiTheme="minorEastAsia" w:hAnsiTheme="minorEastAsia" w:eastAsiaTheme="minorEastAsia" w:cstheme="minorEastAsia"/>
          <w:b w:val="0"/>
          <w:bCs w:val="0"/>
          <w:kern w:val="2"/>
          <w:sz w:val="21"/>
          <w:szCs w:val="21"/>
          <w:lang w:val="en-US" w:eastAsia="zh-CN" w:bidi="ar-SA"/>
        </w:rPr>
        <w:br w:type="textWrapping"/>
      </w:r>
      <w:r>
        <w:rPr>
          <w:rFonts w:hint="eastAsia" w:asciiTheme="minorEastAsia" w:hAnsiTheme="minorEastAsia" w:eastAsiaTheme="minorEastAsia" w:cstheme="minorEastAsia"/>
          <w:b w:val="0"/>
          <w:bCs w:val="0"/>
          <w:kern w:val="2"/>
          <w:sz w:val="21"/>
          <w:szCs w:val="21"/>
          <w:lang w:val="en-US" w:eastAsia="zh-CN" w:bidi="ar-SA"/>
        </w:rPr>
        <w:t>②使用前主剂先搅拌均匀;</w:t>
      </w:r>
      <w:r>
        <w:rPr>
          <w:rFonts w:hint="eastAsia" w:asciiTheme="minorEastAsia" w:hAnsiTheme="minorEastAsia" w:eastAsiaTheme="minorEastAsia" w:cstheme="minorEastAsia"/>
          <w:b w:val="0"/>
          <w:bCs w:val="0"/>
          <w:kern w:val="2"/>
          <w:sz w:val="21"/>
          <w:szCs w:val="21"/>
          <w:lang w:val="en-US" w:eastAsia="zh-CN" w:bidi="ar-SA"/>
        </w:rPr>
        <w:br w:type="textWrapping"/>
      </w:r>
      <w:r>
        <w:rPr>
          <w:rFonts w:hint="eastAsia" w:asciiTheme="minorEastAsia" w:hAnsiTheme="minorEastAsia" w:eastAsiaTheme="minorEastAsia" w:cstheme="minorEastAsia"/>
          <w:b w:val="0"/>
          <w:bCs w:val="0"/>
          <w:kern w:val="2"/>
          <w:sz w:val="21"/>
          <w:szCs w:val="21"/>
          <w:lang w:val="en-US" w:eastAsia="zh-CN" w:bidi="ar-SA"/>
        </w:rPr>
        <w:t>③依照正确比例将主剂及硬化剂混合，充分搅拌;</w:t>
      </w:r>
      <w:r>
        <w:rPr>
          <w:rFonts w:hint="eastAsia" w:asciiTheme="minorEastAsia" w:hAnsiTheme="minorEastAsia" w:eastAsiaTheme="minorEastAsia" w:cstheme="minorEastAsia"/>
          <w:b w:val="0"/>
          <w:bCs w:val="0"/>
          <w:kern w:val="2"/>
          <w:sz w:val="21"/>
          <w:szCs w:val="21"/>
          <w:lang w:val="en-US" w:eastAsia="zh-CN" w:bidi="ar-SA"/>
        </w:rPr>
        <w:br w:type="textWrapping"/>
      </w:r>
      <w:r>
        <w:rPr>
          <w:rFonts w:hint="eastAsia" w:asciiTheme="minorEastAsia" w:hAnsiTheme="minorEastAsia" w:eastAsiaTheme="minorEastAsia" w:cstheme="minorEastAsia"/>
          <w:b w:val="0"/>
          <w:bCs w:val="0"/>
          <w:kern w:val="2"/>
          <w:sz w:val="21"/>
          <w:szCs w:val="21"/>
          <w:lang w:val="en-US" w:eastAsia="zh-CN" w:bidi="ar-SA"/>
        </w:rPr>
        <w:t>④使用滚筒或镘刀将材料均匀涂布混合完成材料需30分钟以内施工完成;</w:t>
      </w:r>
      <w:r>
        <w:rPr>
          <w:rFonts w:hint="eastAsia" w:asciiTheme="minorEastAsia" w:hAnsiTheme="minorEastAsia" w:eastAsiaTheme="minorEastAsia" w:cstheme="minorEastAsia"/>
          <w:b w:val="0"/>
          <w:bCs w:val="0"/>
          <w:kern w:val="2"/>
          <w:sz w:val="21"/>
          <w:szCs w:val="21"/>
          <w:lang w:val="en-US" w:eastAsia="zh-CN" w:bidi="ar-SA"/>
        </w:rPr>
        <w:br w:type="textWrapping"/>
      </w:r>
      <w:r>
        <w:rPr>
          <w:rFonts w:hint="eastAsia" w:asciiTheme="minorEastAsia" w:hAnsiTheme="minorEastAsia" w:eastAsiaTheme="minorEastAsia" w:cstheme="minorEastAsia"/>
          <w:b w:val="0"/>
          <w:bCs w:val="0"/>
          <w:kern w:val="2"/>
          <w:sz w:val="21"/>
          <w:szCs w:val="21"/>
          <w:lang w:val="en-US" w:eastAsia="zh-CN" w:bidi="ar-SA"/>
        </w:rPr>
        <w:t>⑤施工交接处需做好交接处理;</w:t>
      </w:r>
      <w:r>
        <w:rPr>
          <w:rFonts w:hint="eastAsia" w:asciiTheme="minorEastAsia" w:hAnsiTheme="minorEastAsia" w:eastAsiaTheme="minorEastAsia" w:cstheme="minorEastAsia"/>
          <w:b w:val="0"/>
          <w:bCs w:val="0"/>
          <w:kern w:val="2"/>
          <w:sz w:val="21"/>
          <w:szCs w:val="21"/>
          <w:lang w:val="en-US" w:eastAsia="zh-CN" w:bidi="ar-SA"/>
        </w:rPr>
        <w:br w:type="textWrapping"/>
      </w:r>
      <w:r>
        <w:rPr>
          <w:rFonts w:hint="eastAsia" w:asciiTheme="minorEastAsia" w:hAnsiTheme="minorEastAsia" w:eastAsiaTheme="minorEastAsia" w:cstheme="minorEastAsia"/>
          <w:b w:val="0"/>
          <w:bCs w:val="0"/>
          <w:kern w:val="2"/>
          <w:sz w:val="21"/>
          <w:szCs w:val="21"/>
          <w:lang w:val="en-US" w:eastAsia="zh-CN" w:bidi="ar-SA"/>
        </w:rPr>
        <w:t>⑥施工完成后，24小时后方可上人，72小时后方可重压(以250C为准，低温时开放时间需适度延长)</w:t>
      </w:r>
      <w:r>
        <w:rPr>
          <w:rFonts w:hint="eastAsia" w:asciiTheme="minorEastAsia" w:hAnsiTheme="minorEastAsia" w:eastAsiaTheme="minorEastAsia" w:cstheme="minorEastAsia"/>
          <w:b w:val="0"/>
          <w:bCs w:val="0"/>
          <w:kern w:val="2"/>
          <w:sz w:val="21"/>
          <w:szCs w:val="21"/>
          <w:lang w:val="en-US" w:eastAsia="zh-CN" w:bidi="ar-SA"/>
        </w:rPr>
        <w:br w:type="textWrapping"/>
      </w:r>
      <w:r>
        <w:rPr>
          <w:rFonts w:hint="eastAsia" w:asciiTheme="minorEastAsia" w:hAnsiTheme="minorEastAsia" w:eastAsiaTheme="minorEastAsia" w:cstheme="minorEastAsia"/>
          <w:b w:val="0"/>
          <w:bCs w:val="0"/>
          <w:kern w:val="2"/>
          <w:sz w:val="21"/>
          <w:szCs w:val="21"/>
          <w:lang w:val="en-US" w:eastAsia="zh-CN" w:bidi="ar-SA"/>
        </w:rPr>
        <w:t>6、环氧树脂地坪漆验收标准</w:t>
      </w:r>
      <w:r>
        <w:rPr>
          <w:rFonts w:hint="eastAsia" w:asciiTheme="minorEastAsia" w:hAnsiTheme="minorEastAsia" w:eastAsiaTheme="minorEastAsia" w:cstheme="minorEastAsia"/>
          <w:b w:val="0"/>
          <w:bCs w:val="0"/>
          <w:kern w:val="2"/>
          <w:sz w:val="21"/>
          <w:szCs w:val="21"/>
          <w:lang w:val="en-US" w:eastAsia="zh-CN" w:bidi="ar-SA"/>
        </w:rPr>
        <w:br w:type="textWrapping"/>
      </w:r>
      <w:r>
        <w:rPr>
          <w:rFonts w:hint="eastAsia" w:asciiTheme="minorEastAsia" w:hAnsiTheme="minorEastAsia" w:eastAsiaTheme="minorEastAsia" w:cstheme="minorEastAsia"/>
          <w:b w:val="0"/>
          <w:bCs w:val="0"/>
          <w:kern w:val="2"/>
          <w:sz w:val="21"/>
          <w:szCs w:val="21"/>
          <w:lang w:val="en-US" w:eastAsia="zh-CN" w:bidi="ar-SA"/>
        </w:rPr>
        <w:t>①环境温度为25℃时，施工后2-3天应达到实干，即硬度达到完成固化的80%左右;</w:t>
      </w:r>
      <w:r>
        <w:rPr>
          <w:rFonts w:hint="eastAsia" w:asciiTheme="minorEastAsia" w:hAnsiTheme="minorEastAsia" w:eastAsiaTheme="minorEastAsia" w:cstheme="minorEastAsia"/>
          <w:b w:val="0"/>
          <w:bCs w:val="0"/>
          <w:kern w:val="2"/>
          <w:sz w:val="21"/>
          <w:szCs w:val="21"/>
          <w:lang w:val="en-US" w:eastAsia="zh-CN" w:bidi="ar-SA"/>
        </w:rPr>
        <w:br w:type="textWrapping"/>
      </w:r>
      <w:r>
        <w:rPr>
          <w:rFonts w:hint="eastAsia" w:asciiTheme="minorEastAsia" w:hAnsiTheme="minorEastAsia" w:eastAsiaTheme="minorEastAsia" w:cstheme="minorEastAsia"/>
          <w:b w:val="0"/>
          <w:bCs w:val="0"/>
          <w:kern w:val="2"/>
          <w:sz w:val="21"/>
          <w:szCs w:val="21"/>
          <w:lang w:val="en-US" w:eastAsia="zh-CN" w:bidi="ar-SA"/>
        </w:rPr>
        <w:t>表面不能出现发粘现象;</w:t>
      </w:r>
      <w:r>
        <w:rPr>
          <w:rFonts w:hint="eastAsia" w:asciiTheme="minorEastAsia" w:hAnsiTheme="minorEastAsia" w:eastAsiaTheme="minorEastAsia" w:cstheme="minorEastAsia"/>
          <w:b w:val="0"/>
          <w:bCs w:val="0"/>
          <w:kern w:val="2"/>
          <w:sz w:val="21"/>
          <w:szCs w:val="21"/>
          <w:lang w:val="en-US" w:eastAsia="zh-CN" w:bidi="ar-SA"/>
        </w:rPr>
        <w:br w:type="textWrapping"/>
      </w:r>
      <w:r>
        <w:rPr>
          <w:rFonts w:hint="eastAsia" w:asciiTheme="minorEastAsia" w:hAnsiTheme="minorEastAsia" w:eastAsiaTheme="minorEastAsia" w:cstheme="minorEastAsia"/>
          <w:b w:val="0"/>
          <w:bCs w:val="0"/>
          <w:kern w:val="2"/>
          <w:sz w:val="21"/>
          <w:szCs w:val="21"/>
          <w:lang w:val="en-US" w:eastAsia="zh-CN" w:bidi="ar-SA"/>
        </w:rPr>
        <w:t>②气泡：平涂型、砂浆型无气泡，自流平允许1个小气泡/10平方米;</w:t>
      </w:r>
      <w:r>
        <w:rPr>
          <w:rFonts w:hint="eastAsia" w:asciiTheme="minorEastAsia" w:hAnsiTheme="minorEastAsia" w:eastAsiaTheme="minorEastAsia" w:cstheme="minorEastAsia"/>
          <w:b w:val="0"/>
          <w:bCs w:val="0"/>
          <w:kern w:val="2"/>
          <w:sz w:val="21"/>
          <w:szCs w:val="21"/>
          <w:lang w:val="en-US" w:eastAsia="zh-CN" w:bidi="ar-SA"/>
        </w:rPr>
        <w:br w:type="textWrapping"/>
      </w:r>
      <w:r>
        <w:rPr>
          <w:rFonts w:hint="eastAsia" w:asciiTheme="minorEastAsia" w:hAnsiTheme="minorEastAsia" w:eastAsiaTheme="minorEastAsia" w:cstheme="minorEastAsia"/>
          <w:b w:val="0"/>
          <w:bCs w:val="0"/>
          <w:kern w:val="2"/>
          <w:sz w:val="21"/>
          <w:szCs w:val="21"/>
          <w:lang w:val="en-US" w:eastAsia="zh-CN" w:bidi="ar-SA"/>
        </w:rPr>
        <w:t>③流平性好，无镘刀痕，大面积接口处基本平整;</w:t>
      </w:r>
      <w:r>
        <w:rPr>
          <w:rFonts w:hint="eastAsia" w:asciiTheme="minorEastAsia" w:hAnsiTheme="minorEastAsia" w:eastAsiaTheme="minorEastAsia" w:cstheme="minorEastAsia"/>
          <w:b w:val="0"/>
          <w:bCs w:val="0"/>
          <w:kern w:val="2"/>
          <w:sz w:val="21"/>
          <w:szCs w:val="21"/>
          <w:lang w:val="en-US" w:eastAsia="zh-CN" w:bidi="ar-SA"/>
        </w:rPr>
        <w:br w:type="textWrapping"/>
      </w:r>
      <w:r>
        <w:rPr>
          <w:rFonts w:hint="eastAsia" w:asciiTheme="minorEastAsia" w:hAnsiTheme="minorEastAsia" w:eastAsiaTheme="minorEastAsia" w:cstheme="minorEastAsia"/>
          <w:b w:val="0"/>
          <w:bCs w:val="0"/>
          <w:kern w:val="2"/>
          <w:sz w:val="21"/>
          <w:szCs w:val="21"/>
          <w:lang w:val="en-US" w:eastAsia="zh-CN" w:bidi="ar-SA"/>
        </w:rPr>
        <w:t>④无浮色发花，颜色均匀一致，大面积接口处允许有极不明显的色差;</w:t>
      </w:r>
      <w:r>
        <w:rPr>
          <w:rFonts w:hint="eastAsia" w:asciiTheme="minorEastAsia" w:hAnsiTheme="minorEastAsia" w:eastAsiaTheme="minorEastAsia" w:cstheme="minorEastAsia"/>
          <w:b w:val="0"/>
          <w:bCs w:val="0"/>
          <w:kern w:val="2"/>
          <w:sz w:val="21"/>
          <w:szCs w:val="21"/>
          <w:lang w:val="en-US" w:eastAsia="zh-CN" w:bidi="ar-SA"/>
        </w:rPr>
        <w:br w:type="textWrapping"/>
      </w:r>
      <w:r>
        <w:rPr>
          <w:rFonts w:hint="eastAsia" w:asciiTheme="minorEastAsia" w:hAnsiTheme="minorEastAsia" w:eastAsiaTheme="minorEastAsia" w:cstheme="minorEastAsia"/>
          <w:b w:val="0"/>
          <w:bCs w:val="0"/>
          <w:kern w:val="2"/>
          <w:sz w:val="21"/>
          <w:szCs w:val="21"/>
          <w:lang w:val="en-US" w:eastAsia="zh-CN" w:bidi="ar-SA"/>
        </w:rPr>
        <w:t>⑤无粗杂质，但允许有空气中的浮尘掉落在造成的极小缺陷;</w:t>
      </w:r>
      <w:r>
        <w:rPr>
          <w:rFonts w:hint="eastAsia" w:asciiTheme="minorEastAsia" w:hAnsiTheme="minorEastAsia" w:eastAsiaTheme="minorEastAsia" w:cstheme="minorEastAsia"/>
          <w:b w:val="0"/>
          <w:bCs w:val="0"/>
          <w:kern w:val="2"/>
          <w:sz w:val="21"/>
          <w:szCs w:val="21"/>
          <w:lang w:val="en-US" w:eastAsia="zh-CN" w:bidi="ar-SA"/>
        </w:rPr>
        <w:br w:type="textWrapping"/>
      </w:r>
      <w:r>
        <w:rPr>
          <w:rFonts w:hint="eastAsia" w:asciiTheme="minorEastAsia" w:hAnsiTheme="minorEastAsia" w:eastAsiaTheme="minorEastAsia" w:cstheme="minorEastAsia"/>
          <w:b w:val="0"/>
          <w:bCs w:val="0"/>
          <w:kern w:val="2"/>
          <w:sz w:val="21"/>
          <w:szCs w:val="21"/>
          <w:lang w:val="en-US" w:eastAsia="zh-CN" w:bidi="ar-SA"/>
        </w:rPr>
        <w:t>⑥地坪表面应平整平滑，光泽度应达到设计要求(高光泽≥90、有光≥70、半光50～70)，平涂型为有光、水性为半光～无光;</w:t>
      </w:r>
      <w:r>
        <w:rPr>
          <w:rFonts w:hint="eastAsia" w:asciiTheme="minorEastAsia" w:hAnsiTheme="minorEastAsia" w:eastAsiaTheme="minorEastAsia" w:cstheme="minorEastAsia"/>
          <w:b w:val="0"/>
          <w:bCs w:val="0"/>
          <w:kern w:val="2"/>
          <w:sz w:val="21"/>
          <w:szCs w:val="21"/>
          <w:lang w:val="en-US" w:eastAsia="zh-CN" w:bidi="ar-SA"/>
        </w:rPr>
        <w:br w:type="textWrapping"/>
      </w:r>
      <w:r>
        <w:rPr>
          <w:rFonts w:hint="eastAsia" w:asciiTheme="minorEastAsia" w:hAnsiTheme="minorEastAsia" w:eastAsiaTheme="minorEastAsia" w:cstheme="minorEastAsia"/>
          <w:b w:val="0"/>
          <w:bCs w:val="0"/>
          <w:kern w:val="2"/>
          <w:sz w:val="21"/>
          <w:szCs w:val="21"/>
          <w:lang w:val="en-US" w:eastAsia="zh-CN" w:bidi="ar-SA"/>
        </w:rPr>
        <w:t>⑦桔皮、砂浆防滑面效果应很明显。</w:t>
      </w:r>
    </w:p>
    <w:p w14:paraId="0385D79D">
      <w:pPr>
        <w:spacing w:line="360" w:lineRule="auto"/>
        <w:ind w:left="567"/>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 xml:space="preserve"> </w:t>
      </w:r>
    </w:p>
    <w:p w14:paraId="0E68FDA9">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9.3．装修设计及施工要求</w:t>
      </w:r>
    </w:p>
    <w:p w14:paraId="5D0C35DD">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1、隔断、天花吊顶：</w:t>
      </w:r>
    </w:p>
    <w:p w14:paraId="5C1424E2">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1.1隔断及吊顶需严格按照图纸要求进行施工，镀锌材料均为热镀锌材料，不锈钢材料均为304不锈钢。</w:t>
      </w:r>
    </w:p>
    <w:p w14:paraId="2C3597EF">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1.2隔断彩钢板上下用铝合金圆角R50固定于天花或地面，底部采用50型专用铝合金地轨固定，镀锌膨胀螺丝，地轨两侧使用环氧树脂填缝，防渗水。</w:t>
      </w:r>
    </w:p>
    <w:p w14:paraId="068AC99A">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2、门、窗：</w:t>
      </w:r>
    </w:p>
    <w:p w14:paraId="10E31A8A">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2.1人员通行门采用50#机制板门套式净化钢制套装门(平开)，材质为无花镀锌板烤漆，配双层直角观察窗(400X600)，内充惰性气体，配升降扫地条，执手锁，门框、门板厚1.0mm，内填岩棉或纸蜂窝，配不锈钢防撞带。门扇及门框外表采用木纹转印，具体木纹颜色以甲方现场认样为准。</w:t>
      </w:r>
    </w:p>
    <w:p w14:paraId="7D40F628">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2.2窗采用双层成品固定窗，玻璃为5mm厚钢化玻璃，内充惰性气体。</w:t>
      </w:r>
    </w:p>
    <w:p w14:paraId="6769AB54">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2.3洁净间的门安装，必须在门下部与洁净地面之间的缝隙安装橡胶密封条，防止风量、冷量外泄或侵入。</w:t>
      </w:r>
    </w:p>
    <w:p w14:paraId="001372D0">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2.4洁净房间的门与气压方向相反开启的要求安装75Kg闭门器。</w:t>
      </w:r>
    </w:p>
    <w:p w14:paraId="27D1BD77">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2.5洁净门与地角圆弧之间必须采用铝合金圆弧进行收封。</w:t>
      </w:r>
    </w:p>
    <w:p w14:paraId="756235F1">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3、管道穿过隔断、天花：</w:t>
      </w:r>
    </w:p>
    <w:p w14:paraId="2259842A">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3.1洁净区域内，所有工艺管道穿过隔断或天花必须安装不锈钢法兰后打密封胶进行密封，防止外界杂物或空气进入影响洁净度。</w:t>
      </w:r>
    </w:p>
    <w:p w14:paraId="34C304DE">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3.2工艺管道施工中途，待完成密闭的管道必须临时采用塑料薄膜进行密封，防止外界污染空气进入洁净区域。</w:t>
      </w:r>
    </w:p>
    <w:p w14:paraId="6C2DF659">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4、非洁净区域：</w:t>
      </w:r>
    </w:p>
    <w:p w14:paraId="1096C341">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4.1非洁净区隔断与隔断、隔断与天花、隔断与地板之间的交汇处安装圆角、圆弧，直接采用铝合金U型槽连接。</w:t>
      </w:r>
    </w:p>
    <w:p w14:paraId="4A9B422A">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4.2非洁净区内的洁净门、窗铝合金框要四正，偏差不能超过±2mm。</w:t>
      </w:r>
    </w:p>
    <w:p w14:paraId="512203D7">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4.3洁净门窗制作，铝合金门框并缝成一条线，不允许有明显的缝隙。</w:t>
      </w:r>
    </w:p>
    <w:p w14:paraId="1050FC32">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p>
    <w:p w14:paraId="1B3516AB">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9.4.空调系统要求</w:t>
      </w:r>
    </w:p>
    <w:p w14:paraId="1956EBB6">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1、 冷、热源</w:t>
      </w:r>
    </w:p>
    <w:p w14:paraId="78DD73FE">
      <w:pPr>
        <w:adjustRightInd w:val="0"/>
        <w:snapToGrid w:val="0"/>
        <w:spacing w:line="360" w:lineRule="auto"/>
        <w:ind w:firstLine="420" w:firstLineChars="200"/>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本项目洁净区空调冷热源为采用直膨式机组。</w:t>
      </w:r>
    </w:p>
    <w:p w14:paraId="53897FFF">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2、空调系统</w:t>
      </w:r>
    </w:p>
    <w:p w14:paraId="47A2333A">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 xml:space="preserve">   一层生产洁净区的空调采用组合式循环空调+高效送风口的形式，气流组织为上送下侧回风(回风夹道)。 辅助区预留设置分体空调，厂家自带成套室内外机组及冷媒管、排水管, 冷凝水经过自带的提升泵提升后,就近排至卫生间地漏内或室外。</w:t>
      </w:r>
    </w:p>
    <w:p w14:paraId="39ECFC22">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3、组合式空调箱整体要求：</w:t>
      </w:r>
    </w:p>
    <w:p w14:paraId="74D618EF">
      <w:pPr>
        <w:adjustRightInd w:val="0"/>
        <w:snapToGrid w:val="0"/>
        <w:spacing w:line="360" w:lineRule="auto"/>
        <w:ind w:firstLine="420" w:firstLineChars="200"/>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机组的风量、冷量、热量、加湿量、风量、压头、噪音、振动等指标均应满足对应设计图纸的要求，设备电源系统、控制系统、冷水系统布局合理、不相互影响，且各部件安装位置要求准确，各部分均不应存在妨碍安装、检修或清洁的缺陷。设备的表面光滑、平整，不得有影响外观的缺陷。设备各处保护、装饰涂层应均匀，不得存在起皮、剥落或其它缺陷。人能接触到的设备部位不能有锋利的边缘与尖角。内部各零部件光洁、不得有任何油污、灰尘及其他物质存在。相应的功能段设置低压LED照明灯，设备安装必须具有可靠的接地。所有功能段应贴有功能名称、安全维护警告等，要有国家级检测中心的检测报告（如国家日用电器质量监督检验中心报告、国家空调所检测报告） 。</w:t>
      </w:r>
    </w:p>
    <w:p w14:paraId="1EE34ACC">
      <w:pPr>
        <w:adjustRightInd w:val="0"/>
        <w:snapToGrid w:val="0"/>
        <w:spacing w:line="360" w:lineRule="auto"/>
        <w:ind w:firstLine="420" w:firstLineChars="200"/>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空调的承重应由框架承担，不应由空调机组的箱体或壁板来承担机组荷载，且机组箱体应具有足够的强度，保证在运输、安装、启动、运行、停止后，不出现凹凸变形。框架结构中，应有阻断冷桥的措施防止热量损失。机组防冷桥等级达到EN1886的最高等级TB1等级。内外表面整洁光滑，无破损和划伤、变形等情况，框架不外露，面板厚度50mm。箱体为室外机型。面板与框架间、各结构段必须采用保温及密封措施以防止冷桥和保证机组良好的密封性；面板与框架之间及其它连接件之间需采用液体一体成型密封胶，不得拼接，并提供示意图确认。</w:t>
      </w:r>
    </w:p>
    <w:p w14:paraId="617B6C16">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各功能段之间的连接采用钢制镀锌螺栓内连接紧固，安装良好，严密，不漏风，外表美观，保证箱体具有较好的密封效果。</w:t>
      </w:r>
    </w:p>
    <w:p w14:paraId="567EBC0D">
      <w:pPr>
        <w:adjustRightInd w:val="0"/>
        <w:snapToGrid w:val="0"/>
        <w:spacing w:line="360" w:lineRule="auto"/>
        <w:ind w:firstLine="420" w:firstLineChars="200"/>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机组应有很好的防凝露、漏水措施。箱体漏风率≤0.1%，有产品检测报告。</w:t>
      </w:r>
    </w:p>
    <w:p w14:paraId="43FCDA7D">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箱体面板采用双面金属复合板，外板面采用镀锌板加静电粉末喷涂，钣金厚度不小于0.5mm，喷涂层厚度不小于50微米；内壁板采用镀锌板加静电粉末喷涂，钣金厚度不小于0.5mm，喷涂层厚度不小于50微米，耐受臭氧消毒而不被腐蚀，内表面应平整，不易积灰，易清洁，内底板采用SUS304不锈钢，厚度不小于0.7mm。</w:t>
      </w:r>
    </w:p>
    <w:p w14:paraId="2D24F03D">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箱体板面内保温采用环保阻燃型无毒无味耐腐蚀聚氨酯发泡材料或岩棉，保温材料密度≥55kg/m³，并保证不外露，符合洁净要求。内外两层金属板面之间不能直接接触，以免产生冷桥现象，以保证机组隔热良好，运行时箱体表面不能产生冷凝水。</w:t>
      </w:r>
    </w:p>
    <w:p w14:paraId="5C01CA1C">
      <w:pPr>
        <w:adjustRightInd w:val="0"/>
        <w:snapToGrid w:val="0"/>
        <w:spacing w:line="360" w:lineRule="auto"/>
        <w:ind w:firstLine="420" w:firstLineChars="200"/>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箱体底座采用静电粉末喷涂防腐，长度与机组等同，保证机组安装时的钢度和受力均匀，中间根据受力情况横向加固，保证设备运行使用时不变形或震动。</w:t>
      </w:r>
    </w:p>
    <w:p w14:paraId="6EEE454D">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风机段面板及部分结构应便于拆卸，蒸汽、冷冻水管道安装接口预留在空调机组的正面，存水弯安装接口预留在空调机组的正面。</w:t>
      </w:r>
    </w:p>
    <w:p w14:paraId="33603423">
      <w:pPr>
        <w:adjustRightInd w:val="0"/>
        <w:snapToGrid w:val="0"/>
        <w:spacing w:line="360" w:lineRule="auto"/>
        <w:ind w:firstLine="420" w:firstLineChars="200"/>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各功能段的段长设计合理，使气流合理流动，并防止初、中效段的压差出现“假”显示现象，保证过滤器在运行过程中不接触到之后功能段的部件。机组隔热良好，正常运行时箱体外表面及框架不得产生结露，非表冷段箱体内不得带凝结水，表冷段的集水盘不得有水外溢，凝结水排放顺畅。</w:t>
      </w:r>
    </w:p>
    <w:p w14:paraId="77642F1F">
      <w:pPr>
        <w:adjustRightInd w:val="0"/>
        <w:snapToGrid w:val="0"/>
        <w:spacing w:line="360" w:lineRule="auto"/>
        <w:ind w:firstLine="420" w:firstLineChars="200"/>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箱体外面应贴有不锈钢铭牌，铭牌能反映机组的基本信息，包括设备型号、客户编号、机组编号、技术参数、生产日期等。</w:t>
      </w:r>
    </w:p>
    <w:p w14:paraId="2E3C46D2">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4、工作原理：</w:t>
      </w:r>
    </w:p>
    <w:p w14:paraId="60A53930">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1）洁净棚内部为FFU自循环。</w:t>
      </w:r>
    </w:p>
    <w:p w14:paraId="1EFAF1EC">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2）转轮除湿机的除湿转轮在隔成除湿区与再生区的箱体内以6-18rph速率作360°圆周运动,需除湿的处理空气经除湿区时,由除湿转轮中的吸湿材料吸收空气中的水份,从而得到干燥空气；当吸收水份的转轮区域旋转至箱体再生区域时,由经再生加热器加热后的空气解吸除湿转轮吸收的水份排至室外,转轮吸湿与解吸同时进行,确保除湿机组能够提供稳定的干燥空气。</w:t>
      </w:r>
    </w:p>
    <w:p w14:paraId="3ED84260">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3）系统停止运行时,新风阀和回风要关闭严密,以保证洁净室不受外来污染,为保证洁净室的不致破坏,排风系统只有在送风系统运行的情况下才能投入使用。</w:t>
      </w:r>
    </w:p>
    <w:p w14:paraId="6D9E7FD4">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4）空调箱自带控制柜,自控系统由空调箱厂家负责深化设计。</w:t>
      </w:r>
    </w:p>
    <w:p w14:paraId="5961E4D5">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5、其他要求详见设计图纸。</w:t>
      </w:r>
    </w:p>
    <w:p w14:paraId="39CA73A1">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p>
    <w:p w14:paraId="642FCA0E">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9.5.风管安装要求</w:t>
      </w:r>
    </w:p>
    <w:p w14:paraId="30AD7F5F">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1、风管采用优质镀锌钢板制作安装，风管边长≤900时不应有拼接逢，&gt;900时应尽量减少纵向拼接缝，不得有横向拼接缝，各种咬口处、接缝处、铆接处都必须涂封胶或贴密封胶带。</w:t>
      </w:r>
    </w:p>
    <w:tbl>
      <w:tblPr>
        <w:tblStyle w:val="17"/>
        <w:tblW w:w="8222" w:type="dxa"/>
        <w:tblInd w:w="-5" w:type="dxa"/>
        <w:tblLayout w:type="autofit"/>
        <w:tblCellMar>
          <w:top w:w="0" w:type="dxa"/>
          <w:left w:w="108" w:type="dxa"/>
          <w:bottom w:w="0" w:type="dxa"/>
          <w:right w:w="108" w:type="dxa"/>
        </w:tblCellMar>
      </w:tblPr>
      <w:tblGrid>
        <w:gridCol w:w="1411"/>
        <w:gridCol w:w="1024"/>
        <w:gridCol w:w="1025"/>
        <w:gridCol w:w="1070"/>
        <w:gridCol w:w="1983"/>
        <w:gridCol w:w="772"/>
        <w:gridCol w:w="937"/>
      </w:tblGrid>
      <w:tr w14:paraId="64CF0463">
        <w:tblPrEx>
          <w:tblCellMar>
            <w:top w:w="0" w:type="dxa"/>
            <w:left w:w="108" w:type="dxa"/>
            <w:bottom w:w="0" w:type="dxa"/>
            <w:right w:w="108" w:type="dxa"/>
          </w:tblCellMar>
        </w:tblPrEx>
        <w:trPr>
          <w:trHeight w:val="226" w:hRule="atLeast"/>
        </w:trPr>
        <w:tc>
          <w:tcPr>
            <w:tcW w:w="14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B1031">
            <w:pPr>
              <w:widowControl/>
              <w:jc w:val="center"/>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风管使用类别</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91FD9">
            <w:pPr>
              <w:widowControl/>
              <w:jc w:val="center"/>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风管材质</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508A9">
            <w:pPr>
              <w:widowControl/>
              <w:jc w:val="center"/>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连接方式</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C8938">
            <w:pPr>
              <w:widowControl/>
              <w:jc w:val="center"/>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风管系统压力</w:t>
            </w:r>
          </w:p>
        </w:tc>
        <w:tc>
          <w:tcPr>
            <w:tcW w:w="1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A9EAB">
            <w:pPr>
              <w:widowControl/>
              <w:jc w:val="center"/>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保温材料</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E5056">
            <w:pPr>
              <w:widowControl/>
              <w:jc w:val="center"/>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保温厚度</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B6C9F">
            <w:pPr>
              <w:widowControl/>
              <w:jc w:val="center"/>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风管附件材质</w:t>
            </w:r>
          </w:p>
        </w:tc>
      </w:tr>
      <w:tr w14:paraId="5CF4CB90">
        <w:tblPrEx>
          <w:tblCellMar>
            <w:top w:w="0" w:type="dxa"/>
            <w:left w:w="108" w:type="dxa"/>
            <w:bottom w:w="0" w:type="dxa"/>
            <w:right w:w="108" w:type="dxa"/>
          </w:tblCellMar>
        </w:tblPrEx>
        <w:trPr>
          <w:trHeight w:val="437" w:hRule="atLeast"/>
        </w:trPr>
        <w:tc>
          <w:tcPr>
            <w:tcW w:w="14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CAFBB">
            <w:pPr>
              <w:widowControl/>
              <w:jc w:val="center"/>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排风管</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8E441">
            <w:pPr>
              <w:widowControl/>
              <w:jc w:val="center"/>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镀锌钢板</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AD248">
            <w:pPr>
              <w:widowControl/>
              <w:jc w:val="center"/>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法兰连接</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90630">
            <w:pPr>
              <w:widowControl/>
              <w:jc w:val="center"/>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低压</w:t>
            </w:r>
          </w:p>
        </w:tc>
        <w:tc>
          <w:tcPr>
            <w:tcW w:w="1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DCCD9">
            <w:pPr>
              <w:widowControl/>
              <w:jc w:val="center"/>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85581">
            <w:pPr>
              <w:widowControl/>
              <w:jc w:val="center"/>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6B0F4">
            <w:pPr>
              <w:widowControl/>
              <w:jc w:val="center"/>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钢制</w:t>
            </w:r>
          </w:p>
        </w:tc>
      </w:tr>
      <w:tr w14:paraId="2B7F71C2">
        <w:tblPrEx>
          <w:tblCellMar>
            <w:top w:w="0" w:type="dxa"/>
            <w:left w:w="108" w:type="dxa"/>
            <w:bottom w:w="0" w:type="dxa"/>
            <w:right w:w="108" w:type="dxa"/>
          </w:tblCellMar>
        </w:tblPrEx>
        <w:trPr>
          <w:trHeight w:val="437" w:hRule="atLeast"/>
        </w:trPr>
        <w:tc>
          <w:tcPr>
            <w:tcW w:w="14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65B18">
            <w:pPr>
              <w:widowControl/>
              <w:jc w:val="center"/>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空调送回风管</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90EA5">
            <w:pPr>
              <w:widowControl/>
              <w:jc w:val="center"/>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镀锌钢板</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15476">
            <w:pPr>
              <w:widowControl/>
              <w:jc w:val="center"/>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法兰连接</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BF8BF">
            <w:pPr>
              <w:widowControl/>
              <w:jc w:val="center"/>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中压</w:t>
            </w:r>
          </w:p>
        </w:tc>
        <w:tc>
          <w:tcPr>
            <w:tcW w:w="1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3A4CA">
            <w:pPr>
              <w:widowControl/>
              <w:jc w:val="center"/>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橡塑海棉保温板材</w:t>
            </w:r>
            <w:r>
              <w:rPr>
                <w:rFonts w:hint="eastAsia" w:asciiTheme="minorEastAsia" w:hAnsiTheme="minorEastAsia" w:eastAsiaTheme="minorEastAsia" w:cstheme="minorEastAsia"/>
                <w:b w:val="0"/>
                <w:bCs w:val="0"/>
                <w:kern w:val="2"/>
                <w:sz w:val="21"/>
                <w:szCs w:val="21"/>
                <w:lang w:val="en-US" w:eastAsia="zh-CN" w:bidi="ar-SA"/>
              </w:rPr>
              <w:br w:type="textWrapping"/>
            </w:r>
            <w:r>
              <w:rPr>
                <w:rFonts w:hint="eastAsia" w:asciiTheme="minorEastAsia" w:hAnsiTheme="minorEastAsia" w:eastAsiaTheme="minorEastAsia" w:cstheme="minorEastAsia"/>
                <w:b w:val="0"/>
                <w:bCs w:val="0"/>
                <w:kern w:val="2"/>
                <w:sz w:val="21"/>
                <w:szCs w:val="21"/>
                <w:lang w:val="en-US" w:eastAsia="zh-CN" w:bidi="ar-SA"/>
              </w:rPr>
              <w:t>室外部分外包0.5mm厚铝板</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8614F">
            <w:pPr>
              <w:widowControl/>
              <w:jc w:val="center"/>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30mm</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33D9E">
            <w:pPr>
              <w:widowControl/>
              <w:jc w:val="center"/>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钢制</w:t>
            </w:r>
          </w:p>
        </w:tc>
      </w:tr>
      <w:tr w14:paraId="10FB2EBE">
        <w:tblPrEx>
          <w:tblCellMar>
            <w:top w:w="0" w:type="dxa"/>
            <w:left w:w="108" w:type="dxa"/>
            <w:bottom w:w="0" w:type="dxa"/>
            <w:right w:w="108" w:type="dxa"/>
          </w:tblCellMar>
        </w:tblPrEx>
        <w:trPr>
          <w:trHeight w:val="437" w:hRule="atLeast"/>
        </w:trPr>
        <w:tc>
          <w:tcPr>
            <w:tcW w:w="14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5B02D">
            <w:pPr>
              <w:widowControl/>
              <w:jc w:val="center"/>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空调新风管</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5BA77">
            <w:pPr>
              <w:widowControl/>
              <w:jc w:val="center"/>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镀锌钢板</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06471">
            <w:pPr>
              <w:widowControl/>
              <w:jc w:val="center"/>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法兰连接</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0CB20">
            <w:pPr>
              <w:widowControl/>
              <w:jc w:val="center"/>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中压</w:t>
            </w:r>
          </w:p>
        </w:tc>
        <w:tc>
          <w:tcPr>
            <w:tcW w:w="1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2874A">
            <w:pPr>
              <w:widowControl/>
              <w:jc w:val="center"/>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橡塑海棉保温板材</w:t>
            </w:r>
            <w:r>
              <w:rPr>
                <w:rFonts w:hint="eastAsia" w:asciiTheme="minorEastAsia" w:hAnsiTheme="minorEastAsia" w:eastAsiaTheme="minorEastAsia" w:cstheme="minorEastAsia"/>
                <w:b w:val="0"/>
                <w:bCs w:val="0"/>
                <w:kern w:val="2"/>
                <w:sz w:val="21"/>
                <w:szCs w:val="21"/>
                <w:lang w:val="en-US" w:eastAsia="zh-CN" w:bidi="ar-SA"/>
              </w:rPr>
              <w:br w:type="textWrapping"/>
            </w:r>
            <w:r>
              <w:rPr>
                <w:rFonts w:hint="eastAsia" w:asciiTheme="minorEastAsia" w:hAnsiTheme="minorEastAsia" w:eastAsiaTheme="minorEastAsia" w:cstheme="minorEastAsia"/>
                <w:b w:val="0"/>
                <w:bCs w:val="0"/>
                <w:kern w:val="2"/>
                <w:sz w:val="21"/>
                <w:szCs w:val="21"/>
                <w:lang w:val="en-US" w:eastAsia="zh-CN" w:bidi="ar-SA"/>
              </w:rPr>
              <w:t>室外部分外包0.5mm厚铝板</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F581B">
            <w:pPr>
              <w:widowControl/>
              <w:jc w:val="center"/>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30mm</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20771">
            <w:pPr>
              <w:widowControl/>
              <w:jc w:val="center"/>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钢制</w:t>
            </w:r>
          </w:p>
        </w:tc>
      </w:tr>
    </w:tbl>
    <w:p w14:paraId="1DEFCD73">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注：风管厚度根据表格中的压力,结合GB50243-2016《通风与空调工程施工质量 验收规范》选用，对于长边尺寸为1000~2000mm的风管板材厚度不小于1.2mm。排烟风管板材厚度按照高压风管选用。</w:t>
      </w:r>
    </w:p>
    <w:p w14:paraId="11A3AA3D">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2、所有水平或垂直的风管必须设置必要的支、吊或托架，做法参照国标T616，间距详GB50243-2016规定，风管与吊架之间应镶20mm垫木，垫木应进行防腐处理。</w:t>
      </w:r>
    </w:p>
    <w:p w14:paraId="12FFB4A1">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3、防火阀和消声器应单独设置支吊架，安装防火阀时应先对其外观质量和动作的灵活性与可靠性进行检验，确认合格后再行安装，防火阀的气流方向必须与阀体上标志的箭头一致。</w:t>
      </w:r>
    </w:p>
    <w:p w14:paraId="5464AB63">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4、高效送风口应采用可分别调节高度的吊杆。</w:t>
      </w:r>
    </w:p>
    <w:p w14:paraId="4CE7E779">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5、空调机组送回风总管和新风管及需要设置的部位应设风量测定孔，具体位置由现场确定，做法参见国标T615。每隔一段风管应设置检修口。</w:t>
      </w:r>
    </w:p>
    <w:p w14:paraId="4D492955">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6、净化风管制作完毕后必须进行清洗后方可安装，安装完毕须进行漏光测试。</w:t>
      </w:r>
    </w:p>
    <w:p w14:paraId="3FB759F9">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p>
    <w:p w14:paraId="70C35D9F">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9.6.电气要求</w:t>
      </w:r>
    </w:p>
    <w:p w14:paraId="695E0CAB">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1、净化间内照明光源采用嵌入式LED面板灯，嵌入顶棚安装。</w:t>
      </w:r>
    </w:p>
    <w:p w14:paraId="4A66B835">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2、净化间内设置供人员疏散用的应急照明，在安全出口转角处设置疏散标志。</w:t>
      </w:r>
    </w:p>
    <w:p w14:paraId="45394CEB">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3、照明电线电缆需用镀锌钢管做套管敷设，优先于夹墙内敷设（应方便检修）。</w:t>
      </w:r>
    </w:p>
    <w:p w14:paraId="00C1F3B6">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4、电线电缆采用远东品牌，乙供。</w:t>
      </w:r>
    </w:p>
    <w:p w14:paraId="694377F4">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5、电气通用部分：</w:t>
      </w:r>
    </w:p>
    <w:p w14:paraId="3E09CD32">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1)</w:t>
      </w:r>
      <w:r>
        <w:rPr>
          <w:rFonts w:hint="eastAsia" w:asciiTheme="minorEastAsia" w:hAnsiTheme="minorEastAsia" w:eastAsiaTheme="minorEastAsia" w:cstheme="minorEastAsia"/>
          <w:b w:val="0"/>
          <w:bCs w:val="0"/>
          <w:kern w:val="2"/>
          <w:sz w:val="21"/>
          <w:szCs w:val="21"/>
          <w:lang w:val="en-US" w:eastAsia="zh-CN" w:bidi="ar-SA"/>
        </w:rPr>
        <w:tab/>
      </w:r>
      <w:r>
        <w:rPr>
          <w:rFonts w:hint="eastAsia" w:asciiTheme="minorEastAsia" w:hAnsiTheme="minorEastAsia" w:eastAsiaTheme="minorEastAsia" w:cstheme="minorEastAsia"/>
          <w:b w:val="0"/>
          <w:bCs w:val="0"/>
          <w:kern w:val="2"/>
          <w:sz w:val="21"/>
          <w:szCs w:val="21"/>
          <w:lang w:val="en-US" w:eastAsia="zh-CN" w:bidi="ar-SA"/>
        </w:rPr>
        <w:t>柜内、屏上接线端子都应布置在正面，以利于维护检修；</w:t>
      </w:r>
    </w:p>
    <w:p w14:paraId="35C97D71">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2)</w:t>
      </w:r>
      <w:r>
        <w:rPr>
          <w:rFonts w:hint="eastAsia" w:asciiTheme="minorEastAsia" w:hAnsiTheme="minorEastAsia" w:eastAsiaTheme="minorEastAsia" w:cstheme="minorEastAsia"/>
          <w:b w:val="0"/>
          <w:bCs w:val="0"/>
          <w:kern w:val="2"/>
          <w:sz w:val="21"/>
          <w:szCs w:val="21"/>
          <w:lang w:val="en-US" w:eastAsia="zh-CN" w:bidi="ar-SA"/>
        </w:rPr>
        <w:tab/>
      </w:r>
      <w:r>
        <w:rPr>
          <w:rFonts w:hint="eastAsia" w:asciiTheme="minorEastAsia" w:hAnsiTheme="minorEastAsia" w:eastAsiaTheme="minorEastAsia" w:cstheme="minorEastAsia"/>
          <w:b w:val="0"/>
          <w:bCs w:val="0"/>
          <w:kern w:val="2"/>
          <w:sz w:val="21"/>
          <w:szCs w:val="21"/>
          <w:lang w:val="en-US" w:eastAsia="zh-CN" w:bidi="ar-SA"/>
        </w:rPr>
        <w:t>各接线端头都应标有对应线标志；</w:t>
      </w:r>
    </w:p>
    <w:p w14:paraId="0959D103">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3)</w:t>
      </w:r>
      <w:r>
        <w:rPr>
          <w:rFonts w:hint="eastAsia" w:asciiTheme="minorEastAsia" w:hAnsiTheme="minorEastAsia" w:eastAsiaTheme="minorEastAsia" w:cstheme="minorEastAsia"/>
          <w:b w:val="0"/>
          <w:bCs w:val="0"/>
          <w:kern w:val="2"/>
          <w:sz w:val="21"/>
          <w:szCs w:val="21"/>
          <w:lang w:val="en-US" w:eastAsia="zh-CN" w:bidi="ar-SA"/>
        </w:rPr>
        <w:tab/>
      </w:r>
      <w:r>
        <w:rPr>
          <w:rFonts w:hint="eastAsia" w:asciiTheme="minorEastAsia" w:hAnsiTheme="minorEastAsia" w:eastAsiaTheme="minorEastAsia" w:cstheme="minorEastAsia"/>
          <w:b w:val="0"/>
          <w:bCs w:val="0"/>
          <w:kern w:val="2"/>
          <w:sz w:val="21"/>
          <w:szCs w:val="21"/>
          <w:lang w:val="en-US" w:eastAsia="zh-CN" w:bidi="ar-SA"/>
        </w:rPr>
        <w:t>穿线管内壁应光滑，采用镀锌钢管；电线不允许裸露；</w:t>
      </w:r>
    </w:p>
    <w:p w14:paraId="5EC64C02">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4)</w:t>
      </w:r>
      <w:r>
        <w:rPr>
          <w:rFonts w:hint="eastAsia" w:asciiTheme="minorEastAsia" w:hAnsiTheme="minorEastAsia" w:eastAsiaTheme="minorEastAsia" w:cstheme="minorEastAsia"/>
          <w:b w:val="0"/>
          <w:bCs w:val="0"/>
          <w:kern w:val="2"/>
          <w:sz w:val="21"/>
          <w:szCs w:val="21"/>
          <w:lang w:val="en-US" w:eastAsia="zh-CN" w:bidi="ar-SA"/>
        </w:rPr>
        <w:tab/>
      </w:r>
      <w:r>
        <w:rPr>
          <w:rFonts w:hint="eastAsia" w:asciiTheme="minorEastAsia" w:hAnsiTheme="minorEastAsia" w:eastAsiaTheme="minorEastAsia" w:cstheme="minorEastAsia"/>
          <w:b w:val="0"/>
          <w:bCs w:val="0"/>
          <w:kern w:val="2"/>
          <w:sz w:val="21"/>
          <w:szCs w:val="21"/>
          <w:lang w:val="en-US" w:eastAsia="zh-CN" w:bidi="ar-SA"/>
        </w:rPr>
        <w:t>接线盒及硬管进出线处应装护套，接地线、接地线护套为黄绿色；</w:t>
      </w:r>
    </w:p>
    <w:p w14:paraId="59B9E839">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5)</w:t>
      </w:r>
      <w:r>
        <w:rPr>
          <w:rFonts w:hint="eastAsia" w:asciiTheme="minorEastAsia" w:hAnsiTheme="minorEastAsia" w:eastAsiaTheme="minorEastAsia" w:cstheme="minorEastAsia"/>
          <w:b w:val="0"/>
          <w:bCs w:val="0"/>
          <w:kern w:val="2"/>
          <w:sz w:val="21"/>
          <w:szCs w:val="21"/>
          <w:lang w:val="en-US" w:eastAsia="zh-CN" w:bidi="ar-SA"/>
        </w:rPr>
        <w:tab/>
      </w:r>
      <w:r>
        <w:rPr>
          <w:rFonts w:hint="eastAsia" w:asciiTheme="minorEastAsia" w:hAnsiTheme="minorEastAsia" w:eastAsiaTheme="minorEastAsia" w:cstheme="minorEastAsia"/>
          <w:b w:val="0"/>
          <w:bCs w:val="0"/>
          <w:kern w:val="2"/>
          <w:sz w:val="21"/>
          <w:szCs w:val="21"/>
          <w:lang w:val="en-US" w:eastAsia="zh-CN" w:bidi="ar-SA"/>
        </w:rPr>
        <w:t>所有电气设备的金属外壳、管槽、电缆金属外皮和变压器低压侧均设有可靠的接地。</w:t>
      </w:r>
    </w:p>
    <w:p w14:paraId="7EFABEF4">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p>
    <w:p w14:paraId="425CF3BF">
      <w:pPr>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9.7.工程消防相关要求</w:t>
      </w:r>
    </w:p>
    <w:p w14:paraId="09A1A3B8">
      <w:pPr>
        <w:pStyle w:val="40"/>
        <w:autoSpaceDE w:val="0"/>
        <w:autoSpaceDN w:val="0"/>
        <w:adjustRightInd w:val="0"/>
        <w:snapToGrid w:val="0"/>
        <w:spacing w:line="360" w:lineRule="auto"/>
        <w:ind w:firstLine="480"/>
        <w:jc w:val="left"/>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本工程设置消火栓系统，利用原主厂房消火栓系统，消火栓按钮模块承包商须采用与本厂区同品牌的北京利达的产品，并且需考虑必要的配合费用。</w:t>
      </w:r>
    </w:p>
    <w:p w14:paraId="3F1B0DE9">
      <w:pPr>
        <w:pStyle w:val="40"/>
        <w:autoSpaceDE w:val="0"/>
        <w:autoSpaceDN w:val="0"/>
        <w:adjustRightInd w:val="0"/>
        <w:snapToGrid w:val="0"/>
        <w:spacing w:line="360" w:lineRule="auto"/>
        <w:ind w:firstLine="480"/>
        <w:jc w:val="left"/>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建筑内设置的消防疏散指示标志、消防应急照明灯具、洁净壁板，应符合现行国家标准《消防安全标志》GB13495和《消防应急照明和疏散指示系统》GB17945的有关规定。</w:t>
      </w:r>
    </w:p>
    <w:p w14:paraId="2D7F418E">
      <w:pPr>
        <w:pStyle w:val="40"/>
        <w:autoSpaceDE w:val="0"/>
        <w:autoSpaceDN w:val="0"/>
        <w:adjustRightInd w:val="0"/>
        <w:snapToGrid w:val="0"/>
        <w:spacing w:line="360" w:lineRule="auto"/>
        <w:ind w:firstLine="480"/>
        <w:jc w:val="left"/>
        <w:rPr>
          <w:rFonts w:hint="eastAsia" w:asciiTheme="minorEastAsia" w:hAnsiTheme="minorEastAsia" w:eastAsiaTheme="minorEastAsia" w:cstheme="minorEastAsia"/>
          <w:b w:val="0"/>
          <w:bCs w:val="0"/>
          <w:kern w:val="2"/>
          <w:sz w:val="21"/>
          <w:szCs w:val="21"/>
          <w:lang w:val="en-US" w:eastAsia="zh-CN" w:bidi="ar-SA"/>
        </w:rPr>
      </w:pPr>
    </w:p>
    <w:p w14:paraId="578DA0CE">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9.8.其他要求：</w:t>
      </w:r>
    </w:p>
    <w:p w14:paraId="7112AA0A">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1、电气桥架采用热镀锌桥架。</w:t>
      </w:r>
    </w:p>
    <w:p w14:paraId="1A3CE9A0">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2、通风、空调等电动设备：悬吊安装均采用减振弹簧支吊架；落地安装时，转速小于等于1500 转/分的设备采用弹簧减震器，转速大于1500转/分的设备采用弹簧减振座或橡胶减震器，并由设计院认可。防排烟系统的风机应设在混凝土或钢架基础上，且不应设置减振装置；若排烟系统与通风空调系统共用且需要设置减振装置时，不应使用橡胶减振装置。</w:t>
      </w:r>
    </w:p>
    <w:p w14:paraId="3A87F0EC">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3、压缩空气管道采用不锈钢焊接钢管（GB/T12771-2019），材质为SUS304 BA，管道压力工作1.0MPa，管道的连接除设备及阀门采用法兰连接外，其余均为焊接，焊接采用氩弧焊。阀门采用不锈钢球阀，阀门材质与管道相同。管道附件其材质及规格应与管材一致。管道、阀门及配件应进行脱脂处理。</w:t>
      </w:r>
    </w:p>
    <w:p w14:paraId="55A5CDAB">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4、所有送、回风口处均需设置风量调节阀，调节阀采用钢板喷塑，净化区内的送风口为带高效过滤器的送风末端装置。</w:t>
      </w:r>
    </w:p>
    <w:p w14:paraId="3C598567">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5、穿越建筑变形缝或沉降缝处的风管两面侧以及与风机进出口联接处应设置软接其用料须符合洁净要求。</w:t>
      </w:r>
    </w:p>
    <w:p w14:paraId="742BFACB">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6、风管在穿越防火分区或楼层时必须设置防火阀，并与对应空调处理机组联动，当防火阀关闭时，对应的空气处理机组自动停止运行。</w:t>
      </w:r>
    </w:p>
    <w:p w14:paraId="189D1A0C">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7、应用于净化工程的零部件及材料需符合净化要求。</w:t>
      </w:r>
    </w:p>
    <w:p w14:paraId="13D51BAB">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8、未尽事宜参照国家现行规范执行。</w:t>
      </w:r>
    </w:p>
    <w:p w14:paraId="182EC6B4">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9、本技术规范书提出的是最低限度的技术要求，供方应提供符合本技术规范书、国家标准及行业标准的产品。</w:t>
      </w:r>
    </w:p>
    <w:p w14:paraId="3C869C1B">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10、其余详见设计图纸。</w:t>
      </w:r>
    </w:p>
    <w:p w14:paraId="210FDDF5">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p>
    <w:p w14:paraId="06759A7C">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9.10. 执行标准</w:t>
      </w:r>
    </w:p>
    <w:p w14:paraId="69051B03">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《工业建筑供暖通风与空气调节设计规范》GB50019-2015</w:t>
      </w:r>
    </w:p>
    <w:p w14:paraId="6F7230B4">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《建筑设计防火规范》GB50016-2018</w:t>
      </w:r>
    </w:p>
    <w:p w14:paraId="10281EC9">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《工业建筑节能设计统一标准》GB51245-2017</w:t>
      </w:r>
    </w:p>
    <w:p w14:paraId="504156FC">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《公共建筑节能设计标准》GB50189-2015</w:t>
      </w:r>
    </w:p>
    <w:p w14:paraId="3E7C3D88">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《建筑防烟排烟系统技术标准》GB51251-2017</w:t>
      </w:r>
    </w:p>
    <w:p w14:paraId="11F24454">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《建筑机电工程抗震设计规范》GB50981-2010</w:t>
      </w:r>
    </w:p>
    <w:p w14:paraId="1F810FBD">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《建筑给排水及采暖工程施工质量验收规范》GB50242-2002</w:t>
      </w:r>
    </w:p>
    <w:p w14:paraId="0724AEAA">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《洁净厂房设计规范》GB50073-2013</w:t>
      </w:r>
    </w:p>
    <w:p w14:paraId="7BB0F853">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《洁净室施工及验收规范》GB 50591-2010</w:t>
      </w:r>
    </w:p>
    <w:p w14:paraId="51311ECA">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《通风与空调工程施工质量验收规范》GB50243-2002</w:t>
      </w:r>
    </w:p>
    <w:p w14:paraId="604EA414">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《建筑装饰装修工程质量验收规范》GB50210-2018</w:t>
      </w:r>
    </w:p>
    <w:p w14:paraId="6A5500FF">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《环氧树脂自流平地面工程技术规范》GB/T50589-2010</w:t>
      </w:r>
    </w:p>
    <w:p w14:paraId="16200D13">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《空气过滤器》GB/T14295－2019</w:t>
      </w:r>
    </w:p>
    <w:p w14:paraId="5B66CA73">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《高效空气过滤器》GB/T13554-2020</w:t>
      </w:r>
    </w:p>
    <w:p w14:paraId="28D80EFF">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《建筑设计防火规范》GB50016-2024（18年修订版）等</w:t>
      </w:r>
    </w:p>
    <w:p w14:paraId="1E6CD1B4">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有最新标准的按最新标准执行。</w:t>
      </w:r>
    </w:p>
    <w:p w14:paraId="26D7F74F">
      <w:pPr>
        <w:spacing w:line="600" w:lineRule="exact"/>
        <w:rPr>
          <w:rFonts w:hint="eastAsia" w:asciiTheme="minorEastAsia" w:hAnsiTheme="minorEastAsia" w:eastAsiaTheme="minorEastAsia"/>
          <w:sz w:val="24"/>
          <w:szCs w:val="32"/>
        </w:rPr>
      </w:pPr>
    </w:p>
    <w:p w14:paraId="2740A393">
      <w:pPr>
        <w:numPr>
          <w:ilvl w:val="0"/>
          <w:numId w:val="0"/>
        </w:numPr>
        <w:spacing w:line="360" w:lineRule="auto"/>
        <w:ind w:leftChars="0"/>
        <w:outlineLvl w:val="2"/>
        <w:rPr>
          <w:rFonts w:hint="eastAsia" w:ascii="等线" w:hAnsi="等线" w:eastAsia="等线"/>
          <w:b/>
          <w:bCs/>
          <w:color w:val="0070C0"/>
          <w:szCs w:val="21"/>
          <w:lang w:val="en-US" w:eastAsia="zh-CN" w:bidi="ar-SA"/>
        </w:rPr>
      </w:pPr>
      <w:r>
        <w:rPr>
          <w:rFonts w:hint="eastAsia" w:ascii="等线" w:hAnsi="等线" w:eastAsia="等线"/>
          <w:b/>
          <w:bCs/>
          <w:color w:val="0070C0"/>
          <w:szCs w:val="21"/>
          <w:lang w:val="en-US" w:eastAsia="zh-CN" w:bidi="ar-SA"/>
        </w:rPr>
        <w:t>十、设备安装要求</w:t>
      </w:r>
    </w:p>
    <w:p w14:paraId="091DAA5A">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10.1.安装要求</w:t>
      </w:r>
    </w:p>
    <w:p w14:paraId="451E127C">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1、严格按设计图纸要求及相应的安装规范进行操作，投标时提供安装规范及要求。</w:t>
      </w:r>
    </w:p>
    <w:p w14:paraId="598E188F">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2、设备应按设计要求的技术参数订货，并应按设计图纸和供货厂家提供的设备说明安装。应认真核对到货设备的型号、尺寸无误后再进行施工，并按设计要求进行隔声、减震处理。吊装设备就位前应做好预埋件或采取其他安全可靠的固定措施。</w:t>
      </w:r>
    </w:p>
    <w:p w14:paraId="22ACB0AF">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3、空调机组的安装、清洗、试压、检漏、调试等事宜，不仅应严格遵守现行相关规范、标准及规程的各项规定，同时应严格按照生产企业提供的《使用说明书》进行，调试时，生产企业必须派人参加。</w:t>
      </w:r>
    </w:p>
    <w:p w14:paraId="72D71AEB">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4、供方能严格按投标标准提供设备和材料,并按相关规范进行安装作业,并接受甲方及甲方监理的监督，隐蔽性工程在通过甲方或监理的验收后才能进行下一步工程。甲方对供方使用材料违规、不按规范安装情况具有处罚权，合同具体约定。</w:t>
      </w:r>
    </w:p>
    <w:p w14:paraId="7F9AB945">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10.2.设备安装、调试及操作培训</w:t>
      </w:r>
    </w:p>
    <w:p w14:paraId="25C042D4">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1、负责整个系统的安装，完成设备的调试；</w:t>
      </w:r>
    </w:p>
    <w:p w14:paraId="0BA02D20">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2、确定现场协调负责人，协调出现的问题；</w:t>
      </w:r>
    </w:p>
    <w:p w14:paraId="31C97578">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3、负责调试工作，遵守需方现场的规章制度；</w:t>
      </w:r>
    </w:p>
    <w:p w14:paraId="2695F452">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4、负责自检工作；</w:t>
      </w:r>
    </w:p>
    <w:p w14:paraId="357A3748">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5、做好现场文明施工；</w:t>
      </w:r>
    </w:p>
    <w:p w14:paraId="232FEF1F">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6、设备投入使用前，供方负责免费对需方操作人员、维修人员及其它相关人员进行电气、机械原理、设备操作、维修保养等方面知识的培训工作，直至操作人员熟练操作，维修人员独立维修；</w:t>
      </w:r>
    </w:p>
    <w:p w14:paraId="1328F93B">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7、中标单位须免费提供充足的备品备件，以便维修，例如末端阀门、软接等，以及业主方认为必不可少的备品备件。</w:t>
      </w:r>
    </w:p>
    <w:p w14:paraId="2D7EFA70">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10.3.验收等要求</w:t>
      </w:r>
    </w:p>
    <w:p w14:paraId="7170648E">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1、验收</w:t>
      </w:r>
    </w:p>
    <w:p w14:paraId="22A7D612">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1.1 按照双方确认的设备《检验大纲》进行出厂验收和现场调试验收。</w:t>
      </w:r>
    </w:p>
    <w:p w14:paraId="2DBC2277">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1.2 设备进入安装现场前12个工作日，由供方向需方提供设备《检验大纲》，由需方确认后，作为验收依据。</w:t>
      </w:r>
    </w:p>
    <w:p w14:paraId="11BA3CB0">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1.3 设备出厂前，由供方通知需方共同进行出厂验收（如需），并签署出厂验收报告（供方提供），合格后出厂。</w:t>
      </w:r>
    </w:p>
    <w:p w14:paraId="541C165B">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2、开箱验收</w:t>
      </w:r>
    </w:p>
    <w:p w14:paraId="2BBF338F">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 xml:space="preserve">    2.1设备到达现场后供需双方共同开箱验收，供方应自负费用派遣代表到场参加开箱检验，如有质量问题由供方负责。</w:t>
      </w:r>
    </w:p>
    <w:p w14:paraId="0747CD55">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 xml:space="preserve">    2.2在开箱检验中，需方和供方应共同签署数量、外观检验报告，报告应列明检验结果，包括检验合格或发现的任何短缺、损坏或其它与合同约定不符的情形。 </w:t>
      </w:r>
    </w:p>
    <w:p w14:paraId="53E55822">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 xml:space="preserve">    2.3如果供方代表未能依约或按需方通知到场参加开箱检验，需方有权在供方代表未在场的情况下进行开箱检验，并签署数量、外观检验报告，对于该检验报告和检验结果，视为供方已接受，但供方确有合理理由且事先与需方协商推迟开箱检验时间的除外。 </w:t>
      </w:r>
    </w:p>
    <w:p w14:paraId="41DC1319">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 xml:space="preserve">    2.4在开箱检验时如果合同设备外包装与交货时一致，则开箱检验中发现的合同设备的短缺、损坏或其它与合同约定不符的情形，由供方负责，供方应补齐、更换及采取其他补救措施。</w:t>
      </w:r>
    </w:p>
    <w:p w14:paraId="0CD8043C">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2.5开箱检验的检验结果不能对抗在合同设备的安装、调试、考核、验收中及质量保证期内发现的合同设备质量问题，也不能免除或影响供方依照合同约定对需方负有的包括合同设备质量在内的任何义务或责任。</w:t>
      </w:r>
    </w:p>
    <w:p w14:paraId="20BBFF18">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3、投运验收</w:t>
      </w:r>
    </w:p>
    <w:p w14:paraId="05B3EB25">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 xml:space="preserve">    3.1安装、调试、培训完毕后，由供需双方共同进行。</w:t>
      </w:r>
    </w:p>
    <w:p w14:paraId="5C37F98D">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 xml:space="preserve">    3.2如在需方或供方安排的第三方按照供方现场服务人员的指导进行安装、调试的情况下出现安装、调试不成功和（或）造成合同设备损坏的情况，供方应承担责任。</w:t>
      </w:r>
    </w:p>
    <w:p w14:paraId="4F7093BE">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 xml:space="preserve">    3.3如合同设备在考核中达到或视为达到技术性能考核指标，则供需双方应在考核完成后7日内或专用合同条款另行约定的时间内签署合同设备验收证书一式二份，双方各持一份。验收日期应为合同设备达到或视为达到技术性能考核指标的日期。</w:t>
      </w:r>
    </w:p>
    <w:p w14:paraId="57E7E1E5">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4、供方需提供相关的图纸资料和文件资料。</w:t>
      </w:r>
    </w:p>
    <w:p w14:paraId="60C5A739">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4.1 图纸资料包括竣工图、原理图、设备详图、电气控制图等，易损件清单（包括制造厂商、图纸）及相关维修用图纸（3份），并提供电子版。</w:t>
      </w:r>
    </w:p>
    <w:p w14:paraId="5A3EC979">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4.2文件资料包括出厂检验报告（包括国家相关部门认可的仪器仪表检测报告），合格证、供货清单、拆卸一览表、装箱单、安装运行、维护及操作使用说明书（3份）等。</w:t>
      </w:r>
    </w:p>
    <w:p w14:paraId="5972F244">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4.3 供方提供最终的PLC、触摸屏及变频器原始程序，非上载版，并不得设置密码及其它限制。</w:t>
      </w:r>
    </w:p>
    <w:p w14:paraId="20C473BF">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5、质量保证及售后服务</w:t>
      </w:r>
    </w:p>
    <w:p w14:paraId="34CC84BB">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5.1 质保期为5年（自设备投运验收合格签字之日起计算）。在质量保证期内，对因设计、工艺或材料的缺陷而发生的任何不足或故障由供方负责。</w:t>
      </w:r>
    </w:p>
    <w:p w14:paraId="182F23C7">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5.2设备发生故障，供方应在接到需方电话、传真或电子邮件后，1小时内响应，24小时内到达现场进行修复。非需方原因造成的设备损坏，供方免费修复。需方将验收时发现的问题书面通知供方，供方整改后，书面答复需方，且相应部件重新计算质保期。</w:t>
      </w:r>
    </w:p>
    <w:p w14:paraId="126FEBBC">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5.3 所有材料、配套件及电器组件均采用符合或高于国家标准的名牌产品。</w:t>
      </w:r>
    </w:p>
    <w:p w14:paraId="413BC5CA">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5.4 在质保期结束前1个月内，供方要对设备的结构进行一次全面检查和维护。维护内容包括设备关键元部件工作状况检查、主机机械结构外观检查。根据检查情况，向需方提供《设备使用情况报告》及《使用维护建议书》。</w:t>
      </w:r>
    </w:p>
    <w:p w14:paraId="468B3AB9">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5.5 供方对其产品终身维修，质保期外只收工本费。</w:t>
      </w:r>
    </w:p>
    <w:p w14:paraId="0746AB57">
      <w:pPr>
        <w:spacing w:line="360" w:lineRule="auto"/>
        <w:outlineLvl w:val="2"/>
        <w:rPr>
          <w:rFonts w:hint="eastAsia" w:asciiTheme="minorEastAsia" w:hAnsiTheme="minorEastAsia" w:eastAsiaTheme="minorEastAsia"/>
          <w:sz w:val="24"/>
          <w:szCs w:val="32"/>
        </w:rPr>
      </w:pPr>
      <w:bookmarkStart w:id="19" w:name="_Toc1960594590"/>
    </w:p>
    <w:p w14:paraId="1C33ED01">
      <w:pPr>
        <w:numPr>
          <w:ilvl w:val="0"/>
          <w:numId w:val="0"/>
        </w:numPr>
        <w:spacing w:line="360" w:lineRule="auto"/>
        <w:ind w:leftChars="0"/>
        <w:outlineLvl w:val="2"/>
        <w:rPr>
          <w:rFonts w:hint="eastAsia" w:ascii="等线" w:hAnsi="等线" w:eastAsia="等线"/>
          <w:b/>
          <w:bCs/>
          <w:color w:val="0070C0"/>
          <w:szCs w:val="21"/>
          <w:lang w:val="en-US" w:eastAsia="zh-CN" w:bidi="ar-SA"/>
        </w:rPr>
      </w:pPr>
      <w:r>
        <w:rPr>
          <w:rFonts w:hint="eastAsia" w:ascii="等线" w:hAnsi="等线" w:eastAsia="等线"/>
          <w:b/>
          <w:bCs/>
          <w:color w:val="0070C0"/>
          <w:szCs w:val="21"/>
          <w:lang w:val="en-US" w:eastAsia="zh-CN" w:bidi="ar-SA"/>
        </w:rPr>
        <w:t>十一、处罚条款</w:t>
      </w:r>
    </w:p>
    <w:p w14:paraId="79E8EE3B">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工程施工中，除非发生不可抗力或经发包人认可的事件外，发生但不限于下列情况，发包人有权对承包人进行处罚，并保留进一步经济索赔的权力。</w:t>
      </w:r>
    </w:p>
    <w:p w14:paraId="06F847BA">
      <w:pPr>
        <w:adjustRightInd w:val="0"/>
        <w:snapToGrid w:val="0"/>
        <w:spacing w:line="360" w:lineRule="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kern w:val="2"/>
          <w:sz w:val="21"/>
          <w:szCs w:val="21"/>
          <w:lang w:val="en-US" w:eastAsia="zh-CN" w:bidi="ar-SA"/>
        </w:rPr>
        <w:t>说明：对于发包人罚款，通常以发包人发起或监理公司发出的如进度、质量、安全文明施工的报表、报告和会议纪要等文件支持。发包人根据各专业的实际管理情况，对总承包人及专业分包人均可以发起罚款通知，经发包人项目总监签字后即可生效、发出。同时，对于受罚单位无论是否领取罚款通知单，一旦签字发出后，此单即生效，发包人成本部门就可以据此在工程款中扣除。</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3686"/>
        <w:gridCol w:w="1559"/>
        <w:gridCol w:w="2552"/>
      </w:tblGrid>
      <w:tr w14:paraId="1B1E9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shd w:val="clear" w:color="auto" w:fill="E6E6E6"/>
            <w:vAlign w:val="center"/>
          </w:tcPr>
          <w:p w14:paraId="2772D7D4">
            <w:pPr>
              <w:jc w:val="left"/>
              <w:rPr>
                <w:b/>
                <w:bCs/>
                <w:caps/>
                <w:sz w:val="20"/>
                <w:szCs w:val="20"/>
              </w:rPr>
            </w:pPr>
            <w:r>
              <w:rPr>
                <w:rFonts w:ascii="宋体" w:hAnsi="宋体"/>
                <w:b/>
                <w:bCs/>
                <w:caps/>
                <w:sz w:val="20"/>
                <w:szCs w:val="20"/>
              </w:rPr>
              <w:t>序号</w:t>
            </w:r>
          </w:p>
        </w:tc>
        <w:tc>
          <w:tcPr>
            <w:tcW w:w="3686" w:type="dxa"/>
            <w:tcBorders>
              <w:top w:val="single" w:color="auto" w:sz="4" w:space="0"/>
              <w:left w:val="single" w:color="auto" w:sz="4" w:space="0"/>
              <w:bottom w:val="single" w:color="auto" w:sz="4" w:space="0"/>
              <w:right w:val="single" w:color="auto" w:sz="4" w:space="0"/>
            </w:tcBorders>
            <w:shd w:val="clear" w:color="auto" w:fill="E6E6E6"/>
            <w:vAlign w:val="center"/>
          </w:tcPr>
          <w:p w14:paraId="73315FE4">
            <w:pPr>
              <w:jc w:val="left"/>
              <w:rPr>
                <w:b/>
                <w:bCs/>
                <w:caps/>
                <w:sz w:val="20"/>
                <w:szCs w:val="20"/>
              </w:rPr>
            </w:pPr>
            <w:r>
              <w:rPr>
                <w:rFonts w:ascii="宋体" w:hAnsi="宋体"/>
                <w:b/>
                <w:bCs/>
                <w:caps/>
                <w:sz w:val="20"/>
                <w:szCs w:val="20"/>
              </w:rPr>
              <w:t>项目</w:t>
            </w:r>
          </w:p>
        </w:tc>
        <w:tc>
          <w:tcPr>
            <w:tcW w:w="1559" w:type="dxa"/>
            <w:tcBorders>
              <w:top w:val="single" w:color="auto" w:sz="4" w:space="0"/>
              <w:left w:val="single" w:color="auto" w:sz="4" w:space="0"/>
              <w:bottom w:val="single" w:color="auto" w:sz="4" w:space="0"/>
              <w:right w:val="single" w:color="auto" w:sz="4" w:space="0"/>
            </w:tcBorders>
            <w:shd w:val="clear" w:color="auto" w:fill="E6E6E6"/>
            <w:vAlign w:val="center"/>
          </w:tcPr>
          <w:p w14:paraId="3AFCF4C9">
            <w:pPr>
              <w:jc w:val="left"/>
              <w:rPr>
                <w:rFonts w:hint="eastAsia" w:ascii="宋体" w:hAnsi="宋体"/>
                <w:b/>
                <w:bCs/>
                <w:caps/>
                <w:sz w:val="20"/>
                <w:szCs w:val="20"/>
              </w:rPr>
            </w:pPr>
            <w:r>
              <w:rPr>
                <w:rFonts w:hint="eastAsia" w:ascii="宋体" w:hAnsi="宋体"/>
                <w:b/>
                <w:bCs/>
                <w:caps/>
                <w:sz w:val="20"/>
                <w:szCs w:val="20"/>
              </w:rPr>
              <w:t>完成目标</w:t>
            </w:r>
          </w:p>
        </w:tc>
        <w:tc>
          <w:tcPr>
            <w:tcW w:w="2552" w:type="dxa"/>
            <w:tcBorders>
              <w:top w:val="single" w:color="auto" w:sz="4" w:space="0"/>
              <w:left w:val="single" w:color="auto" w:sz="4" w:space="0"/>
              <w:bottom w:val="single" w:color="auto" w:sz="4" w:space="0"/>
              <w:right w:val="single" w:color="auto" w:sz="4" w:space="0"/>
            </w:tcBorders>
            <w:shd w:val="clear" w:color="auto" w:fill="E6E6E6"/>
            <w:vAlign w:val="center"/>
          </w:tcPr>
          <w:p w14:paraId="7F2EE82E">
            <w:pPr>
              <w:jc w:val="left"/>
              <w:rPr>
                <w:b/>
                <w:bCs/>
                <w:caps/>
                <w:sz w:val="20"/>
                <w:szCs w:val="20"/>
              </w:rPr>
            </w:pPr>
            <w:r>
              <w:rPr>
                <w:rFonts w:hint="eastAsia" w:ascii="宋体" w:hAnsi="宋体"/>
                <w:b/>
                <w:bCs/>
                <w:caps/>
                <w:sz w:val="20"/>
                <w:szCs w:val="20"/>
              </w:rPr>
              <w:t>处罚</w:t>
            </w:r>
            <w:r>
              <w:rPr>
                <w:rFonts w:ascii="宋体" w:hAnsi="宋体"/>
                <w:b/>
                <w:bCs/>
                <w:caps/>
                <w:sz w:val="20"/>
                <w:szCs w:val="20"/>
              </w:rPr>
              <w:t>额度</w:t>
            </w:r>
          </w:p>
        </w:tc>
      </w:tr>
      <w:tr w14:paraId="7A302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5CCA4737">
            <w:pPr>
              <w:keepLines/>
              <w:suppressLineNumbers/>
              <w:suppressAutoHyphens/>
              <w:jc w:val="center"/>
              <w:rPr>
                <w:b/>
                <w:bCs/>
                <w:szCs w:val="21"/>
              </w:rPr>
            </w:pPr>
            <w:r>
              <w:rPr>
                <w:b/>
                <w:bCs/>
                <w:szCs w:val="21"/>
              </w:rPr>
              <w:t>1</w:t>
            </w:r>
          </w:p>
        </w:tc>
        <w:tc>
          <w:tcPr>
            <w:tcW w:w="7797" w:type="dxa"/>
            <w:gridSpan w:val="3"/>
            <w:tcBorders>
              <w:top w:val="single" w:color="auto" w:sz="4" w:space="0"/>
              <w:left w:val="single" w:color="auto" w:sz="4" w:space="0"/>
              <w:bottom w:val="single" w:color="auto" w:sz="4" w:space="0"/>
              <w:right w:val="single" w:color="auto" w:sz="4" w:space="0"/>
            </w:tcBorders>
            <w:vAlign w:val="center"/>
          </w:tcPr>
          <w:p w14:paraId="1BB847B1">
            <w:pPr>
              <w:keepLines/>
              <w:suppressLineNumbers/>
              <w:suppressAutoHyphens/>
              <w:rPr>
                <w:b/>
                <w:bCs/>
                <w:szCs w:val="21"/>
              </w:rPr>
            </w:pPr>
            <w:r>
              <w:rPr>
                <w:rFonts w:ascii="宋体" w:hAnsi="宋体"/>
                <w:b/>
                <w:bCs/>
                <w:szCs w:val="21"/>
              </w:rPr>
              <w:t>工程进度</w:t>
            </w:r>
          </w:p>
        </w:tc>
      </w:tr>
      <w:tr w14:paraId="54820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4640FD27">
            <w:pPr>
              <w:keepLines/>
              <w:suppressLineNumbers/>
              <w:suppressAutoHyphens/>
              <w:jc w:val="center"/>
              <w:rPr>
                <w:szCs w:val="21"/>
              </w:rPr>
            </w:pPr>
            <w:r>
              <w:rPr>
                <w:szCs w:val="21"/>
              </w:rPr>
              <w:t>1.1</w:t>
            </w:r>
          </w:p>
        </w:tc>
        <w:tc>
          <w:tcPr>
            <w:tcW w:w="3686" w:type="dxa"/>
            <w:tcBorders>
              <w:top w:val="single" w:color="auto" w:sz="4" w:space="0"/>
              <w:left w:val="single" w:color="auto" w:sz="4" w:space="0"/>
              <w:bottom w:val="single" w:color="auto" w:sz="4" w:space="0"/>
              <w:right w:val="single" w:color="auto" w:sz="4" w:space="0"/>
            </w:tcBorders>
            <w:vAlign w:val="center"/>
          </w:tcPr>
          <w:p w14:paraId="7428173E">
            <w:pPr>
              <w:keepLines/>
              <w:suppressLineNumbers/>
              <w:suppressAutoHyphens/>
              <w:rPr>
                <w:szCs w:val="21"/>
              </w:rPr>
            </w:pPr>
            <w:r>
              <w:rPr>
                <w:rFonts w:ascii="宋体" w:hAnsi="宋体"/>
                <w:szCs w:val="21"/>
              </w:rPr>
              <w:t>未按期完成总控计划</w:t>
            </w:r>
            <w:r>
              <w:rPr>
                <w:rFonts w:hint="eastAsia" w:ascii="宋体" w:hAnsi="宋体"/>
                <w:szCs w:val="21"/>
              </w:rPr>
              <w:t>中开工时间、主体结构封顶、装修工程、办理竣工备案各</w:t>
            </w:r>
            <w:r>
              <w:rPr>
                <w:rFonts w:ascii="宋体" w:hAnsi="宋体"/>
                <w:szCs w:val="21"/>
              </w:rPr>
              <w:t>阶段</w:t>
            </w:r>
            <w:r>
              <w:rPr>
                <w:rFonts w:hint="eastAsia" w:ascii="宋体" w:hAnsi="宋体"/>
                <w:szCs w:val="21"/>
              </w:rPr>
              <w:t>节</w:t>
            </w:r>
            <w:r>
              <w:rPr>
                <w:rFonts w:ascii="宋体" w:hAnsi="宋体"/>
                <w:szCs w:val="21"/>
              </w:rPr>
              <w:t>点</w:t>
            </w:r>
          </w:p>
        </w:tc>
        <w:tc>
          <w:tcPr>
            <w:tcW w:w="1559" w:type="dxa"/>
            <w:tcBorders>
              <w:top w:val="single" w:color="auto" w:sz="4" w:space="0"/>
              <w:left w:val="single" w:color="auto" w:sz="4" w:space="0"/>
              <w:bottom w:val="single" w:color="auto" w:sz="4" w:space="0"/>
              <w:right w:val="single" w:color="auto" w:sz="4" w:space="0"/>
            </w:tcBorders>
            <w:vAlign w:val="center"/>
          </w:tcPr>
          <w:p w14:paraId="2717ACC5">
            <w:pPr>
              <w:keepLines/>
              <w:suppressLineNumbers/>
              <w:suppressAutoHyphens/>
              <w:rPr>
                <w:szCs w:val="21"/>
              </w:rPr>
            </w:pPr>
            <w:r>
              <w:rPr>
                <w:rFonts w:ascii="宋体" w:hAnsi="宋体"/>
                <w:szCs w:val="21"/>
              </w:rPr>
              <w:t>限期完成</w:t>
            </w:r>
          </w:p>
        </w:tc>
        <w:tc>
          <w:tcPr>
            <w:tcW w:w="2552" w:type="dxa"/>
            <w:tcBorders>
              <w:top w:val="single" w:color="auto" w:sz="4" w:space="0"/>
              <w:left w:val="single" w:color="auto" w:sz="4" w:space="0"/>
              <w:bottom w:val="single" w:color="auto" w:sz="4" w:space="0"/>
              <w:right w:val="single" w:color="auto" w:sz="4" w:space="0"/>
            </w:tcBorders>
            <w:vAlign w:val="center"/>
          </w:tcPr>
          <w:p w14:paraId="15B879DE">
            <w:pPr>
              <w:keepLines/>
              <w:suppressLineNumbers/>
              <w:suppressAutoHyphens/>
              <w:rPr>
                <w:szCs w:val="21"/>
              </w:rPr>
            </w:pPr>
            <w:r>
              <w:rPr>
                <w:rFonts w:hint="eastAsia"/>
                <w:szCs w:val="21"/>
                <w:lang w:val="en-US" w:eastAsia="zh-CN"/>
              </w:rPr>
              <w:t>5000</w:t>
            </w:r>
            <w:r>
              <w:rPr>
                <w:rFonts w:ascii="宋体" w:hAnsi="宋体"/>
                <w:szCs w:val="21"/>
              </w:rPr>
              <w:t>元／天</w:t>
            </w:r>
            <w:r>
              <w:rPr>
                <w:rFonts w:hint="eastAsia" w:ascii="宋体" w:hAnsi="宋体"/>
                <w:szCs w:val="21"/>
              </w:rPr>
              <w:t>。最高处罚额度：合同价的</w:t>
            </w:r>
            <w:r>
              <w:rPr>
                <w:rFonts w:hint="eastAsia"/>
                <w:szCs w:val="21"/>
              </w:rPr>
              <w:t>20%</w:t>
            </w:r>
          </w:p>
        </w:tc>
      </w:tr>
      <w:tr w14:paraId="3BD64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371667F8">
            <w:pPr>
              <w:keepLines/>
              <w:suppressLineNumbers/>
              <w:suppressAutoHyphens/>
              <w:jc w:val="center"/>
              <w:rPr>
                <w:b/>
                <w:szCs w:val="21"/>
              </w:rPr>
            </w:pPr>
            <w:r>
              <w:rPr>
                <w:b/>
                <w:szCs w:val="21"/>
              </w:rPr>
              <w:t>2</w:t>
            </w:r>
          </w:p>
        </w:tc>
        <w:tc>
          <w:tcPr>
            <w:tcW w:w="7797" w:type="dxa"/>
            <w:gridSpan w:val="3"/>
            <w:tcBorders>
              <w:top w:val="single" w:color="auto" w:sz="4" w:space="0"/>
              <w:left w:val="single" w:color="auto" w:sz="4" w:space="0"/>
              <w:bottom w:val="single" w:color="auto" w:sz="4" w:space="0"/>
              <w:right w:val="single" w:color="auto" w:sz="4" w:space="0"/>
            </w:tcBorders>
            <w:vAlign w:val="center"/>
          </w:tcPr>
          <w:p w14:paraId="1CF4195E">
            <w:pPr>
              <w:keepLines/>
              <w:suppressLineNumbers/>
              <w:suppressAutoHyphens/>
              <w:rPr>
                <w:b/>
                <w:szCs w:val="21"/>
              </w:rPr>
            </w:pPr>
            <w:r>
              <w:rPr>
                <w:rFonts w:ascii="宋体" w:hAnsi="宋体"/>
                <w:b/>
                <w:szCs w:val="21"/>
              </w:rPr>
              <w:t>工程质量</w:t>
            </w:r>
          </w:p>
        </w:tc>
      </w:tr>
      <w:tr w14:paraId="252DB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42E9F490">
            <w:pPr>
              <w:keepLines/>
              <w:suppressLineNumbers/>
              <w:suppressAutoHyphens/>
              <w:jc w:val="center"/>
              <w:rPr>
                <w:szCs w:val="21"/>
              </w:rPr>
            </w:pPr>
            <w:r>
              <w:rPr>
                <w:szCs w:val="21"/>
              </w:rPr>
              <w:t>2.1</w:t>
            </w:r>
          </w:p>
        </w:tc>
        <w:tc>
          <w:tcPr>
            <w:tcW w:w="3686" w:type="dxa"/>
            <w:tcBorders>
              <w:top w:val="single" w:color="auto" w:sz="4" w:space="0"/>
              <w:left w:val="single" w:color="auto" w:sz="4" w:space="0"/>
              <w:bottom w:val="single" w:color="auto" w:sz="4" w:space="0"/>
              <w:right w:val="single" w:color="auto" w:sz="4" w:space="0"/>
            </w:tcBorders>
            <w:vAlign w:val="center"/>
          </w:tcPr>
          <w:p w14:paraId="44D727B2">
            <w:pPr>
              <w:keepLines/>
              <w:suppressLineNumbers/>
              <w:suppressAutoHyphens/>
              <w:rPr>
                <w:szCs w:val="21"/>
              </w:rPr>
            </w:pPr>
            <w:r>
              <w:rPr>
                <w:rFonts w:ascii="宋体" w:hAnsi="宋体"/>
                <w:szCs w:val="21"/>
              </w:rPr>
              <w:t>出现重大</w:t>
            </w:r>
            <w:r>
              <w:rPr>
                <w:rFonts w:hint="eastAsia" w:ascii="宋体" w:hAnsi="宋体"/>
                <w:szCs w:val="21"/>
              </w:rPr>
              <w:t>主体</w:t>
            </w:r>
            <w:r>
              <w:rPr>
                <w:rFonts w:ascii="宋体" w:hAnsi="宋体"/>
                <w:szCs w:val="21"/>
              </w:rPr>
              <w:t>结构质量问题</w:t>
            </w:r>
          </w:p>
        </w:tc>
        <w:tc>
          <w:tcPr>
            <w:tcW w:w="1559" w:type="dxa"/>
            <w:tcBorders>
              <w:top w:val="single" w:color="auto" w:sz="4" w:space="0"/>
              <w:left w:val="single" w:color="auto" w:sz="4" w:space="0"/>
              <w:bottom w:val="single" w:color="auto" w:sz="4" w:space="0"/>
              <w:right w:val="single" w:color="auto" w:sz="4" w:space="0"/>
            </w:tcBorders>
            <w:vAlign w:val="center"/>
          </w:tcPr>
          <w:p w14:paraId="51A0AD6D">
            <w:pPr>
              <w:keepLines/>
              <w:suppressLineNumbers/>
              <w:suppressAutoHyphens/>
              <w:rPr>
                <w:rFonts w:hint="eastAsia" w:ascii="宋体" w:hAnsi="宋体"/>
                <w:szCs w:val="21"/>
              </w:rPr>
            </w:pPr>
            <w:r>
              <w:rPr>
                <w:rFonts w:hint="eastAsia" w:ascii="宋体" w:hAnsi="宋体"/>
                <w:szCs w:val="21"/>
              </w:rPr>
              <w:t>无</w:t>
            </w:r>
            <w:r>
              <w:rPr>
                <w:rFonts w:ascii="宋体" w:hAnsi="宋体"/>
                <w:szCs w:val="21"/>
              </w:rPr>
              <w:t>重大</w:t>
            </w:r>
            <w:r>
              <w:rPr>
                <w:rFonts w:hint="eastAsia" w:ascii="宋体" w:hAnsi="宋体"/>
                <w:szCs w:val="21"/>
              </w:rPr>
              <w:t>主体</w:t>
            </w:r>
            <w:r>
              <w:rPr>
                <w:rFonts w:ascii="宋体" w:hAnsi="宋体"/>
                <w:szCs w:val="21"/>
              </w:rPr>
              <w:t>结构质量问题</w:t>
            </w:r>
          </w:p>
        </w:tc>
        <w:tc>
          <w:tcPr>
            <w:tcW w:w="2552" w:type="dxa"/>
            <w:tcBorders>
              <w:top w:val="single" w:color="auto" w:sz="4" w:space="0"/>
              <w:left w:val="single" w:color="auto" w:sz="4" w:space="0"/>
              <w:bottom w:val="single" w:color="auto" w:sz="4" w:space="0"/>
              <w:right w:val="single" w:color="auto" w:sz="4" w:space="0"/>
            </w:tcBorders>
            <w:vAlign w:val="center"/>
          </w:tcPr>
          <w:p w14:paraId="50DF4B2D">
            <w:pPr>
              <w:keepLines/>
              <w:suppressLineNumbers/>
              <w:suppressAutoHyphens/>
              <w:rPr>
                <w:szCs w:val="21"/>
              </w:rPr>
            </w:pPr>
            <w:r>
              <w:rPr>
                <w:rFonts w:hint="eastAsia"/>
                <w:szCs w:val="21"/>
                <w:lang w:val="en-US" w:eastAsia="zh-CN"/>
              </w:rPr>
              <w:t>5</w:t>
            </w:r>
            <w:r>
              <w:rPr>
                <w:szCs w:val="21"/>
              </w:rPr>
              <w:t>000</w:t>
            </w:r>
            <w:r>
              <w:rPr>
                <w:rFonts w:ascii="宋体" w:hAnsi="宋体"/>
                <w:szCs w:val="21"/>
              </w:rPr>
              <w:t>元／次</w:t>
            </w:r>
          </w:p>
        </w:tc>
      </w:tr>
      <w:tr w14:paraId="6506E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61FB2E21">
            <w:pPr>
              <w:keepLines/>
              <w:suppressLineNumbers/>
              <w:suppressAutoHyphens/>
              <w:jc w:val="center"/>
              <w:rPr>
                <w:szCs w:val="21"/>
              </w:rPr>
            </w:pPr>
            <w:r>
              <w:rPr>
                <w:szCs w:val="21"/>
              </w:rPr>
              <w:t>2.2</w:t>
            </w:r>
          </w:p>
        </w:tc>
        <w:tc>
          <w:tcPr>
            <w:tcW w:w="3686" w:type="dxa"/>
            <w:tcBorders>
              <w:top w:val="single" w:color="auto" w:sz="4" w:space="0"/>
              <w:left w:val="single" w:color="auto" w:sz="4" w:space="0"/>
              <w:bottom w:val="single" w:color="auto" w:sz="4" w:space="0"/>
              <w:right w:val="single" w:color="auto" w:sz="4" w:space="0"/>
            </w:tcBorders>
            <w:vAlign w:val="center"/>
          </w:tcPr>
          <w:p w14:paraId="37771C92">
            <w:pPr>
              <w:keepLines/>
              <w:suppressLineNumbers/>
              <w:suppressAutoHyphens/>
              <w:rPr>
                <w:szCs w:val="21"/>
              </w:rPr>
            </w:pPr>
            <w:r>
              <w:rPr>
                <w:rFonts w:ascii="宋体" w:hAnsi="宋体"/>
                <w:szCs w:val="21"/>
              </w:rPr>
              <w:t>出现重大二次结构质量问题</w:t>
            </w:r>
          </w:p>
        </w:tc>
        <w:tc>
          <w:tcPr>
            <w:tcW w:w="1559" w:type="dxa"/>
            <w:tcBorders>
              <w:top w:val="single" w:color="auto" w:sz="4" w:space="0"/>
              <w:left w:val="single" w:color="auto" w:sz="4" w:space="0"/>
              <w:bottom w:val="single" w:color="auto" w:sz="4" w:space="0"/>
              <w:right w:val="single" w:color="auto" w:sz="4" w:space="0"/>
            </w:tcBorders>
            <w:vAlign w:val="center"/>
          </w:tcPr>
          <w:p w14:paraId="58E01BEA">
            <w:pPr>
              <w:keepLines/>
              <w:suppressLineNumbers/>
              <w:suppressAutoHyphens/>
              <w:rPr>
                <w:szCs w:val="21"/>
              </w:rPr>
            </w:pPr>
            <w:r>
              <w:rPr>
                <w:rFonts w:hint="eastAsia" w:ascii="宋体" w:hAnsi="宋体"/>
                <w:szCs w:val="21"/>
              </w:rPr>
              <w:t>无</w:t>
            </w:r>
            <w:r>
              <w:rPr>
                <w:rFonts w:ascii="宋体" w:hAnsi="宋体"/>
                <w:szCs w:val="21"/>
              </w:rPr>
              <w:t>重大</w:t>
            </w:r>
            <w:r>
              <w:rPr>
                <w:rFonts w:hint="eastAsia" w:ascii="宋体" w:hAnsi="宋体"/>
                <w:szCs w:val="21"/>
              </w:rPr>
              <w:t>二次</w:t>
            </w:r>
            <w:r>
              <w:rPr>
                <w:rFonts w:ascii="宋体" w:hAnsi="宋体"/>
                <w:szCs w:val="21"/>
              </w:rPr>
              <w:t>结构质量问题</w:t>
            </w:r>
          </w:p>
        </w:tc>
        <w:tc>
          <w:tcPr>
            <w:tcW w:w="2552" w:type="dxa"/>
            <w:tcBorders>
              <w:top w:val="single" w:color="auto" w:sz="4" w:space="0"/>
              <w:left w:val="single" w:color="auto" w:sz="4" w:space="0"/>
              <w:bottom w:val="single" w:color="auto" w:sz="4" w:space="0"/>
              <w:right w:val="single" w:color="auto" w:sz="4" w:space="0"/>
            </w:tcBorders>
            <w:vAlign w:val="center"/>
          </w:tcPr>
          <w:p w14:paraId="31A925D8">
            <w:pPr>
              <w:keepLines/>
              <w:suppressLineNumbers/>
              <w:suppressAutoHyphens/>
              <w:rPr>
                <w:szCs w:val="21"/>
              </w:rPr>
            </w:pPr>
            <w:r>
              <w:rPr>
                <w:rFonts w:hint="eastAsia"/>
                <w:szCs w:val="21"/>
              </w:rPr>
              <w:t>5</w:t>
            </w:r>
            <w:r>
              <w:rPr>
                <w:szCs w:val="21"/>
              </w:rPr>
              <w:t>000</w:t>
            </w:r>
            <w:r>
              <w:rPr>
                <w:rFonts w:ascii="宋体" w:hAnsi="宋体"/>
                <w:szCs w:val="21"/>
              </w:rPr>
              <w:t>元／次</w:t>
            </w:r>
          </w:p>
        </w:tc>
      </w:tr>
      <w:tr w14:paraId="3E3B0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1AE24029">
            <w:pPr>
              <w:keepLines/>
              <w:suppressLineNumbers/>
              <w:suppressAutoHyphens/>
              <w:jc w:val="center"/>
              <w:rPr>
                <w:szCs w:val="21"/>
              </w:rPr>
            </w:pPr>
            <w:r>
              <w:rPr>
                <w:szCs w:val="21"/>
              </w:rPr>
              <w:t>2.3</w:t>
            </w:r>
          </w:p>
        </w:tc>
        <w:tc>
          <w:tcPr>
            <w:tcW w:w="3686" w:type="dxa"/>
            <w:tcBorders>
              <w:top w:val="single" w:color="auto" w:sz="4" w:space="0"/>
              <w:left w:val="single" w:color="auto" w:sz="4" w:space="0"/>
              <w:bottom w:val="single" w:color="auto" w:sz="4" w:space="0"/>
              <w:right w:val="single" w:color="auto" w:sz="4" w:space="0"/>
            </w:tcBorders>
            <w:vAlign w:val="center"/>
          </w:tcPr>
          <w:p w14:paraId="32F2DC5E">
            <w:pPr>
              <w:keepLines/>
              <w:suppressLineNumbers/>
              <w:suppressAutoHyphens/>
              <w:rPr>
                <w:szCs w:val="21"/>
              </w:rPr>
            </w:pPr>
            <w:r>
              <w:rPr>
                <w:rFonts w:ascii="宋体" w:hAnsi="宋体"/>
                <w:szCs w:val="21"/>
              </w:rPr>
              <w:t>对监理通知指出的质量问题未及时</w:t>
            </w:r>
            <w:r>
              <w:rPr>
                <w:rFonts w:hint="eastAsia" w:ascii="宋体" w:hAnsi="宋体"/>
                <w:szCs w:val="21"/>
              </w:rPr>
              <w:t>限期</w:t>
            </w:r>
            <w:r>
              <w:rPr>
                <w:rFonts w:ascii="宋体" w:hAnsi="宋体"/>
                <w:szCs w:val="21"/>
              </w:rPr>
              <w:t>整改并回复</w:t>
            </w:r>
          </w:p>
        </w:tc>
        <w:tc>
          <w:tcPr>
            <w:tcW w:w="1559" w:type="dxa"/>
            <w:tcBorders>
              <w:top w:val="single" w:color="auto" w:sz="4" w:space="0"/>
              <w:left w:val="single" w:color="auto" w:sz="4" w:space="0"/>
              <w:bottom w:val="single" w:color="auto" w:sz="4" w:space="0"/>
              <w:right w:val="single" w:color="auto" w:sz="4" w:space="0"/>
            </w:tcBorders>
            <w:vAlign w:val="center"/>
          </w:tcPr>
          <w:p w14:paraId="071317C2">
            <w:pPr>
              <w:keepLines/>
              <w:suppressLineNumbers/>
              <w:suppressAutoHyphens/>
              <w:rPr>
                <w:rFonts w:hint="eastAsia" w:ascii="宋体" w:hAnsi="宋体"/>
                <w:szCs w:val="21"/>
              </w:rPr>
            </w:pPr>
            <w:r>
              <w:rPr>
                <w:rFonts w:ascii="宋体" w:hAnsi="宋体"/>
                <w:szCs w:val="21"/>
              </w:rPr>
              <w:t>限期整改</w:t>
            </w:r>
            <w:r>
              <w:rPr>
                <w:rFonts w:hint="eastAsia" w:ascii="宋体" w:hAnsi="宋体"/>
                <w:szCs w:val="21"/>
              </w:rPr>
              <w:t>回复</w:t>
            </w:r>
          </w:p>
        </w:tc>
        <w:tc>
          <w:tcPr>
            <w:tcW w:w="2552" w:type="dxa"/>
            <w:tcBorders>
              <w:top w:val="single" w:color="auto" w:sz="4" w:space="0"/>
              <w:left w:val="single" w:color="auto" w:sz="4" w:space="0"/>
              <w:bottom w:val="single" w:color="auto" w:sz="4" w:space="0"/>
              <w:right w:val="single" w:color="auto" w:sz="4" w:space="0"/>
            </w:tcBorders>
            <w:vAlign w:val="center"/>
          </w:tcPr>
          <w:p w14:paraId="605BF6F5">
            <w:pPr>
              <w:keepLines/>
              <w:suppressLineNumbers/>
              <w:suppressAutoHyphens/>
              <w:rPr>
                <w:szCs w:val="21"/>
              </w:rPr>
            </w:pPr>
            <w:r>
              <w:rPr>
                <w:rFonts w:hint="eastAsia"/>
                <w:szCs w:val="21"/>
              </w:rPr>
              <w:t>1</w:t>
            </w:r>
            <w:r>
              <w:rPr>
                <w:szCs w:val="21"/>
              </w:rPr>
              <w:t>000</w:t>
            </w:r>
            <w:r>
              <w:rPr>
                <w:rFonts w:ascii="宋体" w:hAnsi="宋体"/>
                <w:szCs w:val="21"/>
              </w:rPr>
              <w:t>元／次</w:t>
            </w:r>
          </w:p>
        </w:tc>
      </w:tr>
      <w:tr w14:paraId="72501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52838CED">
            <w:pPr>
              <w:keepLines/>
              <w:suppressLineNumbers/>
              <w:suppressAutoHyphens/>
              <w:jc w:val="center"/>
              <w:rPr>
                <w:szCs w:val="21"/>
              </w:rPr>
            </w:pPr>
            <w:r>
              <w:rPr>
                <w:szCs w:val="21"/>
              </w:rPr>
              <w:t>2.4</w:t>
            </w:r>
          </w:p>
        </w:tc>
        <w:tc>
          <w:tcPr>
            <w:tcW w:w="3686" w:type="dxa"/>
            <w:tcBorders>
              <w:top w:val="single" w:color="auto" w:sz="4" w:space="0"/>
              <w:left w:val="single" w:color="auto" w:sz="4" w:space="0"/>
              <w:bottom w:val="single" w:color="auto" w:sz="4" w:space="0"/>
              <w:right w:val="single" w:color="auto" w:sz="4" w:space="0"/>
            </w:tcBorders>
            <w:vAlign w:val="center"/>
          </w:tcPr>
          <w:p w14:paraId="4D639F8C">
            <w:pPr>
              <w:keepLines/>
              <w:suppressLineNumbers/>
              <w:suppressAutoHyphens/>
              <w:rPr>
                <w:szCs w:val="21"/>
              </w:rPr>
            </w:pPr>
            <w:r>
              <w:rPr>
                <w:rFonts w:ascii="宋体" w:hAnsi="宋体"/>
                <w:szCs w:val="21"/>
              </w:rPr>
              <w:t>因结构、二次结构质量问题影响其他分包施工</w:t>
            </w:r>
          </w:p>
        </w:tc>
        <w:tc>
          <w:tcPr>
            <w:tcW w:w="1559" w:type="dxa"/>
            <w:tcBorders>
              <w:top w:val="single" w:color="auto" w:sz="4" w:space="0"/>
              <w:left w:val="single" w:color="auto" w:sz="4" w:space="0"/>
              <w:bottom w:val="single" w:color="auto" w:sz="4" w:space="0"/>
              <w:right w:val="single" w:color="auto" w:sz="4" w:space="0"/>
            </w:tcBorders>
            <w:vAlign w:val="center"/>
          </w:tcPr>
          <w:p w14:paraId="79FDCA62">
            <w:pPr>
              <w:keepLines/>
              <w:suppressLineNumbers/>
              <w:suppressAutoHyphens/>
              <w:rPr>
                <w:szCs w:val="21"/>
              </w:rPr>
            </w:pPr>
            <w:r>
              <w:rPr>
                <w:rFonts w:ascii="宋体" w:hAnsi="宋体"/>
                <w:szCs w:val="21"/>
              </w:rPr>
              <w:t>限期整改</w:t>
            </w:r>
          </w:p>
        </w:tc>
        <w:tc>
          <w:tcPr>
            <w:tcW w:w="2552" w:type="dxa"/>
            <w:tcBorders>
              <w:top w:val="single" w:color="auto" w:sz="4" w:space="0"/>
              <w:left w:val="single" w:color="auto" w:sz="4" w:space="0"/>
              <w:bottom w:val="single" w:color="auto" w:sz="4" w:space="0"/>
              <w:right w:val="single" w:color="auto" w:sz="4" w:space="0"/>
            </w:tcBorders>
            <w:vAlign w:val="center"/>
          </w:tcPr>
          <w:p w14:paraId="3C794090">
            <w:pPr>
              <w:keepLines/>
              <w:suppressLineNumbers/>
              <w:suppressAutoHyphens/>
              <w:rPr>
                <w:rFonts w:hint="eastAsia" w:ascii="宋体" w:hAnsi="宋体"/>
                <w:szCs w:val="21"/>
              </w:rPr>
            </w:pPr>
            <w:r>
              <w:rPr>
                <w:rFonts w:hint="eastAsia"/>
                <w:szCs w:val="21"/>
              </w:rPr>
              <w:t>1</w:t>
            </w:r>
            <w:r>
              <w:rPr>
                <w:szCs w:val="21"/>
              </w:rPr>
              <w:t>000</w:t>
            </w:r>
            <w:r>
              <w:rPr>
                <w:rFonts w:ascii="宋体" w:hAnsi="宋体"/>
                <w:szCs w:val="21"/>
              </w:rPr>
              <w:t>元／</w:t>
            </w:r>
            <w:r>
              <w:rPr>
                <w:rFonts w:hint="eastAsia" w:ascii="宋体" w:hAnsi="宋体"/>
                <w:szCs w:val="21"/>
              </w:rPr>
              <w:t>次</w:t>
            </w:r>
          </w:p>
        </w:tc>
      </w:tr>
      <w:tr w14:paraId="7AAC5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3B9623ED">
            <w:pPr>
              <w:keepLines/>
              <w:suppressLineNumbers/>
              <w:suppressAutoHyphens/>
              <w:jc w:val="center"/>
              <w:rPr>
                <w:szCs w:val="21"/>
              </w:rPr>
            </w:pPr>
            <w:r>
              <w:rPr>
                <w:szCs w:val="21"/>
              </w:rPr>
              <w:t>2.5</w:t>
            </w:r>
          </w:p>
        </w:tc>
        <w:tc>
          <w:tcPr>
            <w:tcW w:w="3686" w:type="dxa"/>
            <w:tcBorders>
              <w:top w:val="single" w:color="auto" w:sz="4" w:space="0"/>
              <w:left w:val="single" w:color="auto" w:sz="4" w:space="0"/>
              <w:bottom w:val="single" w:color="auto" w:sz="4" w:space="0"/>
              <w:right w:val="single" w:color="auto" w:sz="4" w:space="0"/>
            </w:tcBorders>
            <w:vAlign w:val="center"/>
          </w:tcPr>
          <w:p w14:paraId="52ED1372">
            <w:pPr>
              <w:keepLines/>
              <w:suppressLineNumbers/>
              <w:suppressAutoHyphens/>
              <w:rPr>
                <w:szCs w:val="21"/>
              </w:rPr>
            </w:pPr>
            <w:r>
              <w:rPr>
                <w:rFonts w:ascii="宋体" w:hAnsi="宋体"/>
                <w:szCs w:val="21"/>
              </w:rPr>
              <w:t>未按材料、设备封样计划完成封样</w:t>
            </w:r>
          </w:p>
        </w:tc>
        <w:tc>
          <w:tcPr>
            <w:tcW w:w="1559" w:type="dxa"/>
            <w:tcBorders>
              <w:top w:val="single" w:color="auto" w:sz="4" w:space="0"/>
              <w:left w:val="single" w:color="auto" w:sz="4" w:space="0"/>
              <w:bottom w:val="single" w:color="auto" w:sz="4" w:space="0"/>
              <w:right w:val="single" w:color="auto" w:sz="4" w:space="0"/>
            </w:tcBorders>
            <w:vAlign w:val="center"/>
          </w:tcPr>
          <w:p w14:paraId="3D2C5995">
            <w:pPr>
              <w:keepLines/>
              <w:suppressLineNumbers/>
              <w:suppressAutoHyphens/>
              <w:rPr>
                <w:szCs w:val="21"/>
              </w:rPr>
            </w:pPr>
            <w:r>
              <w:rPr>
                <w:rFonts w:ascii="宋体" w:hAnsi="宋体"/>
                <w:szCs w:val="21"/>
              </w:rPr>
              <w:t>限期完成</w:t>
            </w:r>
          </w:p>
        </w:tc>
        <w:tc>
          <w:tcPr>
            <w:tcW w:w="2552" w:type="dxa"/>
            <w:tcBorders>
              <w:top w:val="single" w:color="auto" w:sz="4" w:space="0"/>
              <w:left w:val="single" w:color="auto" w:sz="4" w:space="0"/>
              <w:bottom w:val="single" w:color="auto" w:sz="4" w:space="0"/>
              <w:right w:val="single" w:color="auto" w:sz="4" w:space="0"/>
            </w:tcBorders>
            <w:vAlign w:val="center"/>
          </w:tcPr>
          <w:p w14:paraId="503F6EEF">
            <w:pPr>
              <w:keepLines/>
              <w:suppressLineNumbers/>
              <w:suppressAutoHyphens/>
              <w:rPr>
                <w:szCs w:val="21"/>
              </w:rPr>
            </w:pPr>
            <w:r>
              <w:rPr>
                <w:rFonts w:hint="eastAsia"/>
                <w:szCs w:val="21"/>
              </w:rPr>
              <w:t>1</w:t>
            </w:r>
            <w:r>
              <w:rPr>
                <w:szCs w:val="21"/>
              </w:rPr>
              <w:t>00</w:t>
            </w:r>
            <w:r>
              <w:rPr>
                <w:rFonts w:hint="eastAsia"/>
                <w:szCs w:val="21"/>
              </w:rPr>
              <w:t>0</w:t>
            </w:r>
            <w:r>
              <w:rPr>
                <w:rFonts w:ascii="宋体" w:hAnsi="宋体"/>
                <w:szCs w:val="21"/>
              </w:rPr>
              <w:t>元／项</w:t>
            </w:r>
          </w:p>
        </w:tc>
      </w:tr>
      <w:tr w14:paraId="6A57F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7B287631">
            <w:pPr>
              <w:keepLines/>
              <w:suppressLineNumbers/>
              <w:suppressAutoHyphens/>
              <w:jc w:val="center"/>
              <w:rPr>
                <w:szCs w:val="21"/>
              </w:rPr>
            </w:pPr>
            <w:r>
              <w:rPr>
                <w:szCs w:val="21"/>
              </w:rPr>
              <w:t>2.6</w:t>
            </w:r>
          </w:p>
        </w:tc>
        <w:tc>
          <w:tcPr>
            <w:tcW w:w="3686" w:type="dxa"/>
            <w:tcBorders>
              <w:top w:val="single" w:color="auto" w:sz="4" w:space="0"/>
              <w:left w:val="single" w:color="auto" w:sz="4" w:space="0"/>
              <w:bottom w:val="single" w:color="auto" w:sz="4" w:space="0"/>
              <w:right w:val="single" w:color="auto" w:sz="4" w:space="0"/>
            </w:tcBorders>
            <w:vAlign w:val="center"/>
          </w:tcPr>
          <w:p w14:paraId="7F4201D8">
            <w:pPr>
              <w:keepLines/>
              <w:suppressLineNumbers/>
              <w:suppressAutoHyphens/>
              <w:rPr>
                <w:rFonts w:hint="eastAsia" w:ascii="宋体" w:hAnsi="宋体"/>
                <w:szCs w:val="21"/>
              </w:rPr>
            </w:pPr>
            <w:r>
              <w:rPr>
                <w:rFonts w:ascii="宋体" w:hAnsi="宋体"/>
                <w:szCs w:val="21"/>
              </w:rPr>
              <w:t>工程材料、设备进场不报验即用于工程</w:t>
            </w:r>
            <w:r>
              <w:rPr>
                <w:rFonts w:hint="eastAsia" w:ascii="宋体" w:hAnsi="宋体"/>
                <w:szCs w:val="21"/>
              </w:rPr>
              <w:t>施工</w:t>
            </w:r>
          </w:p>
        </w:tc>
        <w:tc>
          <w:tcPr>
            <w:tcW w:w="1559" w:type="dxa"/>
            <w:tcBorders>
              <w:top w:val="single" w:color="auto" w:sz="4" w:space="0"/>
              <w:left w:val="single" w:color="auto" w:sz="4" w:space="0"/>
              <w:bottom w:val="single" w:color="auto" w:sz="4" w:space="0"/>
              <w:right w:val="single" w:color="auto" w:sz="4" w:space="0"/>
            </w:tcBorders>
            <w:vAlign w:val="center"/>
          </w:tcPr>
          <w:p w14:paraId="1BA4A8A5">
            <w:pPr>
              <w:keepLines/>
              <w:suppressLineNumbers/>
              <w:suppressAutoHyphens/>
              <w:rPr>
                <w:szCs w:val="21"/>
              </w:rPr>
            </w:pPr>
            <w:r>
              <w:rPr>
                <w:rFonts w:ascii="宋体" w:hAnsi="宋体"/>
                <w:szCs w:val="21"/>
              </w:rPr>
              <w:t>停工整顿、限期报验</w:t>
            </w:r>
          </w:p>
        </w:tc>
        <w:tc>
          <w:tcPr>
            <w:tcW w:w="2552" w:type="dxa"/>
            <w:tcBorders>
              <w:top w:val="single" w:color="auto" w:sz="4" w:space="0"/>
              <w:left w:val="single" w:color="auto" w:sz="4" w:space="0"/>
              <w:bottom w:val="single" w:color="auto" w:sz="4" w:space="0"/>
              <w:right w:val="single" w:color="auto" w:sz="4" w:space="0"/>
            </w:tcBorders>
            <w:vAlign w:val="center"/>
          </w:tcPr>
          <w:p w14:paraId="689D26D7">
            <w:pPr>
              <w:keepLines/>
              <w:suppressLineNumbers/>
              <w:suppressAutoHyphens/>
              <w:rPr>
                <w:szCs w:val="21"/>
              </w:rPr>
            </w:pPr>
            <w:r>
              <w:rPr>
                <w:rFonts w:hint="eastAsia"/>
                <w:szCs w:val="21"/>
              </w:rPr>
              <w:t>1</w:t>
            </w:r>
            <w:r>
              <w:rPr>
                <w:szCs w:val="21"/>
              </w:rPr>
              <w:t>000</w:t>
            </w:r>
            <w:r>
              <w:rPr>
                <w:rFonts w:ascii="宋体" w:hAnsi="宋体"/>
                <w:szCs w:val="21"/>
              </w:rPr>
              <w:t>元／次</w:t>
            </w:r>
          </w:p>
        </w:tc>
      </w:tr>
      <w:tr w14:paraId="2509C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4603132A">
            <w:pPr>
              <w:keepLines/>
              <w:suppressLineNumbers/>
              <w:suppressAutoHyphens/>
              <w:jc w:val="center"/>
              <w:rPr>
                <w:szCs w:val="21"/>
              </w:rPr>
            </w:pPr>
            <w:r>
              <w:rPr>
                <w:szCs w:val="21"/>
              </w:rPr>
              <w:t>2.7</w:t>
            </w:r>
          </w:p>
        </w:tc>
        <w:tc>
          <w:tcPr>
            <w:tcW w:w="3686" w:type="dxa"/>
            <w:tcBorders>
              <w:top w:val="single" w:color="auto" w:sz="4" w:space="0"/>
              <w:left w:val="single" w:color="auto" w:sz="4" w:space="0"/>
              <w:bottom w:val="single" w:color="auto" w:sz="4" w:space="0"/>
              <w:right w:val="single" w:color="auto" w:sz="4" w:space="0"/>
            </w:tcBorders>
            <w:vAlign w:val="center"/>
          </w:tcPr>
          <w:p w14:paraId="79F79A2B">
            <w:pPr>
              <w:keepLines/>
              <w:suppressLineNumbers/>
              <w:suppressAutoHyphens/>
              <w:rPr>
                <w:szCs w:val="21"/>
              </w:rPr>
            </w:pPr>
            <w:r>
              <w:rPr>
                <w:rFonts w:ascii="宋体" w:hAnsi="宋体"/>
                <w:szCs w:val="21"/>
              </w:rPr>
              <w:t>私自更换材料，所用材料、设备与样品不符</w:t>
            </w:r>
          </w:p>
        </w:tc>
        <w:tc>
          <w:tcPr>
            <w:tcW w:w="1559" w:type="dxa"/>
            <w:tcBorders>
              <w:top w:val="single" w:color="auto" w:sz="4" w:space="0"/>
              <w:left w:val="single" w:color="auto" w:sz="4" w:space="0"/>
              <w:bottom w:val="single" w:color="auto" w:sz="4" w:space="0"/>
              <w:right w:val="single" w:color="auto" w:sz="4" w:space="0"/>
            </w:tcBorders>
            <w:vAlign w:val="center"/>
          </w:tcPr>
          <w:p w14:paraId="343841DB">
            <w:pPr>
              <w:keepLines/>
              <w:suppressLineNumbers/>
              <w:suppressAutoHyphens/>
              <w:rPr>
                <w:szCs w:val="21"/>
              </w:rPr>
            </w:pPr>
            <w:r>
              <w:rPr>
                <w:rFonts w:ascii="宋体" w:hAnsi="宋体"/>
                <w:szCs w:val="21"/>
              </w:rPr>
              <w:t>停工整顿、返工</w:t>
            </w:r>
          </w:p>
        </w:tc>
        <w:tc>
          <w:tcPr>
            <w:tcW w:w="2552" w:type="dxa"/>
            <w:tcBorders>
              <w:top w:val="single" w:color="auto" w:sz="4" w:space="0"/>
              <w:left w:val="single" w:color="auto" w:sz="4" w:space="0"/>
              <w:bottom w:val="single" w:color="auto" w:sz="4" w:space="0"/>
              <w:right w:val="single" w:color="auto" w:sz="4" w:space="0"/>
            </w:tcBorders>
            <w:vAlign w:val="center"/>
          </w:tcPr>
          <w:p w14:paraId="6EC9D0DE">
            <w:pPr>
              <w:keepLines/>
              <w:suppressLineNumbers/>
              <w:suppressAutoHyphens/>
              <w:rPr>
                <w:szCs w:val="21"/>
              </w:rPr>
            </w:pPr>
            <w:r>
              <w:rPr>
                <w:rFonts w:hint="eastAsia"/>
                <w:szCs w:val="21"/>
              </w:rPr>
              <w:t>1</w:t>
            </w:r>
            <w:r>
              <w:rPr>
                <w:szCs w:val="21"/>
              </w:rPr>
              <w:t>000</w:t>
            </w:r>
            <w:r>
              <w:rPr>
                <w:rFonts w:ascii="宋体" w:hAnsi="宋体"/>
                <w:szCs w:val="21"/>
              </w:rPr>
              <w:t>元／次</w:t>
            </w:r>
          </w:p>
        </w:tc>
      </w:tr>
      <w:tr w14:paraId="5A2FF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64D88714">
            <w:pPr>
              <w:keepLines/>
              <w:suppressLineNumbers/>
              <w:suppressAutoHyphens/>
              <w:jc w:val="center"/>
              <w:rPr>
                <w:szCs w:val="21"/>
              </w:rPr>
            </w:pPr>
            <w:r>
              <w:rPr>
                <w:szCs w:val="21"/>
              </w:rPr>
              <w:t>2.8</w:t>
            </w:r>
          </w:p>
        </w:tc>
        <w:tc>
          <w:tcPr>
            <w:tcW w:w="3686" w:type="dxa"/>
            <w:tcBorders>
              <w:top w:val="single" w:color="auto" w:sz="4" w:space="0"/>
              <w:left w:val="single" w:color="auto" w:sz="4" w:space="0"/>
              <w:bottom w:val="single" w:color="auto" w:sz="4" w:space="0"/>
              <w:right w:val="single" w:color="auto" w:sz="4" w:space="0"/>
            </w:tcBorders>
            <w:vAlign w:val="center"/>
          </w:tcPr>
          <w:p w14:paraId="4CB20BA0">
            <w:pPr>
              <w:keepLines/>
              <w:suppressLineNumbers/>
              <w:suppressAutoHyphens/>
              <w:rPr>
                <w:szCs w:val="21"/>
              </w:rPr>
            </w:pPr>
            <w:r>
              <w:rPr>
                <w:rFonts w:ascii="宋体" w:hAnsi="宋体"/>
                <w:szCs w:val="21"/>
              </w:rPr>
              <w:t>未按要求进行工序自检</w:t>
            </w:r>
          </w:p>
        </w:tc>
        <w:tc>
          <w:tcPr>
            <w:tcW w:w="1559" w:type="dxa"/>
            <w:tcBorders>
              <w:top w:val="single" w:color="auto" w:sz="4" w:space="0"/>
              <w:left w:val="single" w:color="auto" w:sz="4" w:space="0"/>
              <w:bottom w:val="single" w:color="auto" w:sz="4" w:space="0"/>
              <w:right w:val="single" w:color="auto" w:sz="4" w:space="0"/>
            </w:tcBorders>
            <w:vAlign w:val="center"/>
          </w:tcPr>
          <w:p w14:paraId="0B79963C">
            <w:pPr>
              <w:keepLines/>
              <w:suppressLineNumbers/>
              <w:suppressAutoHyphens/>
              <w:rPr>
                <w:szCs w:val="21"/>
              </w:rPr>
            </w:pPr>
            <w:r>
              <w:rPr>
                <w:rFonts w:hint="eastAsia" w:ascii="宋体" w:hAnsi="宋体"/>
                <w:szCs w:val="21"/>
              </w:rPr>
              <w:t>限期整改</w:t>
            </w:r>
          </w:p>
        </w:tc>
        <w:tc>
          <w:tcPr>
            <w:tcW w:w="2552" w:type="dxa"/>
            <w:tcBorders>
              <w:top w:val="single" w:color="auto" w:sz="4" w:space="0"/>
              <w:left w:val="single" w:color="auto" w:sz="4" w:space="0"/>
              <w:bottom w:val="single" w:color="auto" w:sz="4" w:space="0"/>
              <w:right w:val="single" w:color="auto" w:sz="4" w:space="0"/>
            </w:tcBorders>
            <w:vAlign w:val="center"/>
          </w:tcPr>
          <w:p w14:paraId="32F7172A">
            <w:pPr>
              <w:keepLines/>
              <w:suppressLineNumbers/>
              <w:suppressAutoHyphens/>
              <w:rPr>
                <w:szCs w:val="21"/>
              </w:rPr>
            </w:pPr>
            <w:r>
              <w:rPr>
                <w:rFonts w:hint="eastAsia"/>
                <w:szCs w:val="21"/>
              </w:rPr>
              <w:t>10</w:t>
            </w:r>
            <w:r>
              <w:rPr>
                <w:szCs w:val="21"/>
              </w:rPr>
              <w:t>00</w:t>
            </w:r>
            <w:r>
              <w:rPr>
                <w:rFonts w:ascii="宋体" w:hAnsi="宋体"/>
                <w:szCs w:val="21"/>
              </w:rPr>
              <w:t>元／次</w:t>
            </w:r>
          </w:p>
        </w:tc>
      </w:tr>
      <w:tr w14:paraId="6B6AF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537EC977">
            <w:pPr>
              <w:keepLines/>
              <w:suppressLineNumbers/>
              <w:suppressAutoHyphens/>
              <w:jc w:val="center"/>
              <w:rPr>
                <w:szCs w:val="21"/>
              </w:rPr>
            </w:pPr>
            <w:r>
              <w:rPr>
                <w:szCs w:val="21"/>
              </w:rPr>
              <w:t>2.9</w:t>
            </w:r>
          </w:p>
        </w:tc>
        <w:tc>
          <w:tcPr>
            <w:tcW w:w="3686" w:type="dxa"/>
            <w:tcBorders>
              <w:top w:val="single" w:color="auto" w:sz="4" w:space="0"/>
              <w:left w:val="single" w:color="auto" w:sz="4" w:space="0"/>
              <w:bottom w:val="single" w:color="auto" w:sz="4" w:space="0"/>
              <w:right w:val="single" w:color="auto" w:sz="4" w:space="0"/>
            </w:tcBorders>
            <w:vAlign w:val="center"/>
          </w:tcPr>
          <w:p w14:paraId="5DCA80B3">
            <w:pPr>
              <w:keepLines/>
              <w:suppressLineNumbers/>
              <w:suppressAutoHyphens/>
              <w:rPr>
                <w:rFonts w:hint="eastAsia" w:ascii="宋体" w:hAnsi="宋体"/>
                <w:szCs w:val="21"/>
              </w:rPr>
            </w:pPr>
            <w:r>
              <w:rPr>
                <w:rFonts w:ascii="宋体" w:hAnsi="宋体"/>
                <w:szCs w:val="21"/>
              </w:rPr>
              <w:t>分项、分部工程未报监理验收</w:t>
            </w:r>
            <w:r>
              <w:rPr>
                <w:rFonts w:hint="eastAsia" w:ascii="宋体" w:hAnsi="宋体"/>
                <w:szCs w:val="21"/>
              </w:rPr>
              <w:t>或验收不合格</w:t>
            </w:r>
            <w:r>
              <w:rPr>
                <w:rFonts w:ascii="宋体" w:hAnsi="宋体"/>
                <w:szCs w:val="21"/>
              </w:rPr>
              <w:t>即进行下道工序</w:t>
            </w:r>
            <w:r>
              <w:rPr>
                <w:rFonts w:hint="eastAsia" w:ascii="宋体" w:hAnsi="宋体"/>
                <w:szCs w:val="21"/>
              </w:rPr>
              <w:t>施工</w:t>
            </w:r>
          </w:p>
        </w:tc>
        <w:tc>
          <w:tcPr>
            <w:tcW w:w="1559" w:type="dxa"/>
            <w:tcBorders>
              <w:top w:val="single" w:color="auto" w:sz="4" w:space="0"/>
              <w:left w:val="single" w:color="auto" w:sz="4" w:space="0"/>
              <w:bottom w:val="single" w:color="auto" w:sz="4" w:space="0"/>
              <w:right w:val="single" w:color="auto" w:sz="4" w:space="0"/>
            </w:tcBorders>
            <w:vAlign w:val="center"/>
          </w:tcPr>
          <w:p w14:paraId="7D0236E1">
            <w:pPr>
              <w:keepLines/>
              <w:suppressLineNumbers/>
              <w:suppressAutoHyphens/>
              <w:rPr>
                <w:szCs w:val="21"/>
              </w:rPr>
            </w:pPr>
            <w:r>
              <w:rPr>
                <w:rFonts w:ascii="宋体" w:hAnsi="宋体"/>
                <w:szCs w:val="21"/>
              </w:rPr>
              <w:t>停工整顿、返工</w:t>
            </w:r>
          </w:p>
        </w:tc>
        <w:tc>
          <w:tcPr>
            <w:tcW w:w="2552" w:type="dxa"/>
            <w:tcBorders>
              <w:top w:val="single" w:color="auto" w:sz="4" w:space="0"/>
              <w:left w:val="single" w:color="auto" w:sz="4" w:space="0"/>
              <w:bottom w:val="single" w:color="auto" w:sz="4" w:space="0"/>
              <w:right w:val="single" w:color="auto" w:sz="4" w:space="0"/>
            </w:tcBorders>
            <w:vAlign w:val="center"/>
          </w:tcPr>
          <w:p w14:paraId="12F9B9DB">
            <w:pPr>
              <w:keepLines/>
              <w:suppressLineNumbers/>
              <w:suppressAutoHyphens/>
              <w:rPr>
                <w:szCs w:val="21"/>
              </w:rPr>
            </w:pPr>
            <w:r>
              <w:rPr>
                <w:rFonts w:hint="eastAsia"/>
                <w:szCs w:val="21"/>
              </w:rPr>
              <w:t>1</w:t>
            </w:r>
            <w:r>
              <w:rPr>
                <w:szCs w:val="21"/>
              </w:rPr>
              <w:t>000</w:t>
            </w:r>
            <w:r>
              <w:rPr>
                <w:rFonts w:ascii="宋体" w:hAnsi="宋体"/>
                <w:szCs w:val="21"/>
              </w:rPr>
              <w:t>元／次</w:t>
            </w:r>
          </w:p>
        </w:tc>
      </w:tr>
      <w:tr w14:paraId="6A7A3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3023D991">
            <w:pPr>
              <w:keepLines/>
              <w:suppressLineNumbers/>
              <w:suppressAutoHyphens/>
              <w:jc w:val="center"/>
              <w:rPr>
                <w:b/>
                <w:szCs w:val="21"/>
              </w:rPr>
            </w:pPr>
            <w:r>
              <w:rPr>
                <w:b/>
                <w:szCs w:val="21"/>
              </w:rPr>
              <w:t>3</w:t>
            </w:r>
          </w:p>
        </w:tc>
        <w:tc>
          <w:tcPr>
            <w:tcW w:w="7797" w:type="dxa"/>
            <w:gridSpan w:val="3"/>
            <w:tcBorders>
              <w:top w:val="single" w:color="auto" w:sz="4" w:space="0"/>
              <w:left w:val="single" w:color="auto" w:sz="4" w:space="0"/>
              <w:bottom w:val="single" w:color="auto" w:sz="4" w:space="0"/>
              <w:right w:val="single" w:color="auto" w:sz="4" w:space="0"/>
            </w:tcBorders>
            <w:vAlign w:val="center"/>
          </w:tcPr>
          <w:p w14:paraId="4FBFACFA">
            <w:pPr>
              <w:keepLines/>
              <w:suppressLineNumbers/>
              <w:suppressAutoHyphens/>
              <w:rPr>
                <w:b/>
                <w:szCs w:val="21"/>
              </w:rPr>
            </w:pPr>
            <w:r>
              <w:rPr>
                <w:rFonts w:ascii="宋体" w:hAnsi="宋体"/>
                <w:b/>
                <w:szCs w:val="21"/>
              </w:rPr>
              <w:t>安全文明施工</w:t>
            </w:r>
          </w:p>
        </w:tc>
      </w:tr>
      <w:tr w14:paraId="077B4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664C3B99">
            <w:pPr>
              <w:keepLines/>
              <w:suppressLineNumbers/>
              <w:suppressAutoHyphens/>
              <w:jc w:val="center"/>
              <w:rPr>
                <w:szCs w:val="21"/>
              </w:rPr>
            </w:pPr>
            <w:r>
              <w:rPr>
                <w:szCs w:val="21"/>
              </w:rPr>
              <w:t>3.1</w:t>
            </w:r>
          </w:p>
        </w:tc>
        <w:tc>
          <w:tcPr>
            <w:tcW w:w="3686" w:type="dxa"/>
            <w:tcBorders>
              <w:top w:val="single" w:color="auto" w:sz="4" w:space="0"/>
              <w:left w:val="single" w:color="auto" w:sz="4" w:space="0"/>
              <w:bottom w:val="single" w:color="auto" w:sz="4" w:space="0"/>
              <w:right w:val="single" w:color="auto" w:sz="4" w:space="0"/>
            </w:tcBorders>
            <w:vAlign w:val="center"/>
          </w:tcPr>
          <w:p w14:paraId="21B56292">
            <w:pPr>
              <w:keepLines/>
              <w:suppressLineNumbers/>
              <w:suppressAutoHyphens/>
              <w:rPr>
                <w:szCs w:val="21"/>
              </w:rPr>
            </w:pPr>
            <w:r>
              <w:rPr>
                <w:rFonts w:ascii="宋体" w:hAnsi="宋体"/>
                <w:szCs w:val="21"/>
              </w:rPr>
              <w:t>未按要求设置标志标识</w:t>
            </w:r>
          </w:p>
        </w:tc>
        <w:tc>
          <w:tcPr>
            <w:tcW w:w="1559" w:type="dxa"/>
            <w:tcBorders>
              <w:top w:val="single" w:color="auto" w:sz="4" w:space="0"/>
              <w:left w:val="single" w:color="auto" w:sz="4" w:space="0"/>
              <w:bottom w:val="single" w:color="auto" w:sz="4" w:space="0"/>
              <w:right w:val="single" w:color="auto" w:sz="4" w:space="0"/>
            </w:tcBorders>
            <w:vAlign w:val="center"/>
          </w:tcPr>
          <w:p w14:paraId="72603464">
            <w:pPr>
              <w:keepLines/>
              <w:suppressLineNumbers/>
              <w:suppressAutoHyphens/>
              <w:rPr>
                <w:szCs w:val="21"/>
              </w:rPr>
            </w:pPr>
            <w:r>
              <w:rPr>
                <w:rFonts w:hint="eastAsia" w:ascii="宋体" w:hAnsi="宋体"/>
                <w:szCs w:val="21"/>
              </w:rPr>
              <w:t>停</w:t>
            </w:r>
            <w:r>
              <w:rPr>
                <w:rFonts w:ascii="宋体" w:hAnsi="宋体"/>
                <w:szCs w:val="21"/>
              </w:rPr>
              <w:t>工整改至完成</w:t>
            </w:r>
          </w:p>
        </w:tc>
        <w:tc>
          <w:tcPr>
            <w:tcW w:w="2552" w:type="dxa"/>
            <w:tcBorders>
              <w:top w:val="single" w:color="auto" w:sz="4" w:space="0"/>
              <w:left w:val="single" w:color="auto" w:sz="4" w:space="0"/>
              <w:bottom w:val="single" w:color="auto" w:sz="4" w:space="0"/>
              <w:right w:val="single" w:color="auto" w:sz="4" w:space="0"/>
            </w:tcBorders>
            <w:vAlign w:val="center"/>
          </w:tcPr>
          <w:p w14:paraId="62C0C2F5">
            <w:pPr>
              <w:keepLines/>
              <w:suppressLineNumbers/>
              <w:suppressAutoHyphens/>
              <w:rPr>
                <w:szCs w:val="21"/>
              </w:rPr>
            </w:pPr>
            <w:r>
              <w:rPr>
                <w:rFonts w:hint="eastAsia"/>
                <w:szCs w:val="21"/>
              </w:rPr>
              <w:t>1</w:t>
            </w:r>
            <w:r>
              <w:rPr>
                <w:szCs w:val="21"/>
              </w:rPr>
              <w:t>0</w:t>
            </w:r>
            <w:r>
              <w:rPr>
                <w:rFonts w:hint="eastAsia"/>
                <w:szCs w:val="21"/>
              </w:rPr>
              <w:t>0</w:t>
            </w:r>
            <w:r>
              <w:rPr>
                <w:szCs w:val="21"/>
              </w:rPr>
              <w:t>0</w:t>
            </w:r>
            <w:r>
              <w:rPr>
                <w:rFonts w:ascii="宋体" w:hAnsi="宋体"/>
                <w:szCs w:val="21"/>
              </w:rPr>
              <w:t>元／处</w:t>
            </w:r>
          </w:p>
        </w:tc>
      </w:tr>
      <w:tr w14:paraId="13FE2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24D7C70E">
            <w:pPr>
              <w:keepLines/>
              <w:suppressLineNumbers/>
              <w:suppressAutoHyphens/>
              <w:jc w:val="center"/>
              <w:rPr>
                <w:szCs w:val="21"/>
              </w:rPr>
            </w:pPr>
            <w:r>
              <w:rPr>
                <w:szCs w:val="21"/>
              </w:rPr>
              <w:t>3.2</w:t>
            </w:r>
          </w:p>
        </w:tc>
        <w:tc>
          <w:tcPr>
            <w:tcW w:w="3686" w:type="dxa"/>
            <w:tcBorders>
              <w:top w:val="single" w:color="auto" w:sz="4" w:space="0"/>
              <w:left w:val="single" w:color="auto" w:sz="4" w:space="0"/>
              <w:bottom w:val="single" w:color="auto" w:sz="4" w:space="0"/>
              <w:right w:val="single" w:color="auto" w:sz="4" w:space="0"/>
            </w:tcBorders>
            <w:vAlign w:val="center"/>
          </w:tcPr>
          <w:p w14:paraId="41F11A85">
            <w:pPr>
              <w:keepLines/>
              <w:suppressLineNumbers/>
              <w:suppressAutoHyphens/>
              <w:rPr>
                <w:szCs w:val="21"/>
              </w:rPr>
            </w:pPr>
            <w:r>
              <w:rPr>
                <w:rFonts w:ascii="宋体" w:hAnsi="宋体"/>
                <w:szCs w:val="21"/>
              </w:rPr>
              <w:t>现场材料堆放混乱</w:t>
            </w:r>
          </w:p>
        </w:tc>
        <w:tc>
          <w:tcPr>
            <w:tcW w:w="1559" w:type="dxa"/>
            <w:tcBorders>
              <w:top w:val="single" w:color="auto" w:sz="4" w:space="0"/>
              <w:left w:val="single" w:color="auto" w:sz="4" w:space="0"/>
              <w:bottom w:val="single" w:color="auto" w:sz="4" w:space="0"/>
              <w:right w:val="single" w:color="auto" w:sz="4" w:space="0"/>
            </w:tcBorders>
            <w:vAlign w:val="center"/>
          </w:tcPr>
          <w:p w14:paraId="27A9C232">
            <w:pPr>
              <w:keepLines/>
              <w:suppressLineNumbers/>
              <w:suppressAutoHyphens/>
              <w:rPr>
                <w:szCs w:val="21"/>
              </w:rPr>
            </w:pPr>
            <w:r>
              <w:rPr>
                <w:rFonts w:ascii="宋体" w:hAnsi="宋体"/>
                <w:szCs w:val="21"/>
              </w:rPr>
              <w:t>停工整改至完成</w:t>
            </w:r>
          </w:p>
        </w:tc>
        <w:tc>
          <w:tcPr>
            <w:tcW w:w="2552" w:type="dxa"/>
            <w:tcBorders>
              <w:top w:val="single" w:color="auto" w:sz="4" w:space="0"/>
              <w:left w:val="single" w:color="auto" w:sz="4" w:space="0"/>
              <w:bottom w:val="single" w:color="auto" w:sz="4" w:space="0"/>
              <w:right w:val="single" w:color="auto" w:sz="4" w:space="0"/>
            </w:tcBorders>
            <w:vAlign w:val="center"/>
          </w:tcPr>
          <w:p w14:paraId="2BEFB683">
            <w:pPr>
              <w:keepLines/>
              <w:suppressLineNumbers/>
              <w:suppressAutoHyphens/>
              <w:rPr>
                <w:szCs w:val="21"/>
              </w:rPr>
            </w:pPr>
            <w:r>
              <w:rPr>
                <w:rFonts w:hint="eastAsia"/>
                <w:szCs w:val="21"/>
              </w:rPr>
              <w:t>1</w:t>
            </w:r>
            <w:r>
              <w:rPr>
                <w:szCs w:val="21"/>
              </w:rPr>
              <w:t>00</w:t>
            </w:r>
            <w:r>
              <w:rPr>
                <w:rFonts w:hint="eastAsia"/>
                <w:szCs w:val="21"/>
              </w:rPr>
              <w:t>0</w:t>
            </w:r>
            <w:r>
              <w:rPr>
                <w:rFonts w:ascii="宋体" w:hAnsi="宋体"/>
                <w:szCs w:val="21"/>
              </w:rPr>
              <w:t>元／处</w:t>
            </w:r>
          </w:p>
        </w:tc>
      </w:tr>
      <w:tr w14:paraId="022CB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51346F32">
            <w:pPr>
              <w:keepLines/>
              <w:suppressLineNumbers/>
              <w:suppressAutoHyphens/>
              <w:jc w:val="center"/>
              <w:rPr>
                <w:szCs w:val="21"/>
              </w:rPr>
            </w:pPr>
            <w:r>
              <w:rPr>
                <w:szCs w:val="21"/>
              </w:rPr>
              <w:t>3.3</w:t>
            </w:r>
          </w:p>
        </w:tc>
        <w:tc>
          <w:tcPr>
            <w:tcW w:w="3686" w:type="dxa"/>
            <w:tcBorders>
              <w:top w:val="single" w:color="auto" w:sz="4" w:space="0"/>
              <w:left w:val="single" w:color="auto" w:sz="4" w:space="0"/>
              <w:bottom w:val="single" w:color="auto" w:sz="4" w:space="0"/>
              <w:right w:val="single" w:color="auto" w:sz="4" w:space="0"/>
            </w:tcBorders>
            <w:vAlign w:val="center"/>
          </w:tcPr>
          <w:p w14:paraId="77602882">
            <w:pPr>
              <w:keepLines/>
              <w:suppressLineNumbers/>
              <w:suppressAutoHyphens/>
              <w:rPr>
                <w:szCs w:val="21"/>
              </w:rPr>
            </w:pPr>
            <w:r>
              <w:rPr>
                <w:rFonts w:ascii="宋体" w:hAnsi="宋体"/>
                <w:szCs w:val="21"/>
              </w:rPr>
              <w:t>现场施工垃圾清理不及时</w:t>
            </w:r>
          </w:p>
        </w:tc>
        <w:tc>
          <w:tcPr>
            <w:tcW w:w="1559" w:type="dxa"/>
            <w:tcBorders>
              <w:top w:val="single" w:color="auto" w:sz="4" w:space="0"/>
              <w:left w:val="single" w:color="auto" w:sz="4" w:space="0"/>
              <w:bottom w:val="single" w:color="auto" w:sz="4" w:space="0"/>
              <w:right w:val="single" w:color="auto" w:sz="4" w:space="0"/>
            </w:tcBorders>
            <w:vAlign w:val="center"/>
          </w:tcPr>
          <w:p w14:paraId="473E9E43">
            <w:pPr>
              <w:keepLines/>
              <w:suppressLineNumbers/>
              <w:suppressAutoHyphens/>
              <w:rPr>
                <w:szCs w:val="21"/>
              </w:rPr>
            </w:pPr>
            <w:r>
              <w:rPr>
                <w:rFonts w:ascii="宋体" w:hAnsi="宋体"/>
                <w:szCs w:val="21"/>
              </w:rPr>
              <w:t>限期清理</w:t>
            </w:r>
          </w:p>
        </w:tc>
        <w:tc>
          <w:tcPr>
            <w:tcW w:w="2552" w:type="dxa"/>
            <w:tcBorders>
              <w:top w:val="single" w:color="auto" w:sz="4" w:space="0"/>
              <w:left w:val="single" w:color="auto" w:sz="4" w:space="0"/>
              <w:bottom w:val="single" w:color="auto" w:sz="4" w:space="0"/>
              <w:right w:val="single" w:color="auto" w:sz="4" w:space="0"/>
            </w:tcBorders>
            <w:vAlign w:val="center"/>
          </w:tcPr>
          <w:p w14:paraId="67B1DDDB">
            <w:pPr>
              <w:keepLines/>
              <w:suppressLineNumbers/>
              <w:suppressAutoHyphens/>
              <w:rPr>
                <w:szCs w:val="21"/>
              </w:rPr>
            </w:pPr>
            <w:r>
              <w:rPr>
                <w:rFonts w:hint="eastAsia"/>
                <w:szCs w:val="21"/>
              </w:rPr>
              <w:t>1</w:t>
            </w:r>
            <w:r>
              <w:rPr>
                <w:szCs w:val="21"/>
              </w:rPr>
              <w:t>00</w:t>
            </w:r>
            <w:r>
              <w:rPr>
                <w:rFonts w:hint="eastAsia"/>
                <w:szCs w:val="21"/>
              </w:rPr>
              <w:t>0</w:t>
            </w:r>
            <w:r>
              <w:rPr>
                <w:rFonts w:ascii="宋体" w:hAnsi="宋体"/>
                <w:szCs w:val="21"/>
              </w:rPr>
              <w:t>元／处</w:t>
            </w:r>
          </w:p>
        </w:tc>
      </w:tr>
      <w:tr w14:paraId="51B11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1B8B4B19">
            <w:pPr>
              <w:keepLines/>
              <w:suppressLineNumbers/>
              <w:suppressAutoHyphens/>
              <w:jc w:val="center"/>
              <w:rPr>
                <w:szCs w:val="21"/>
              </w:rPr>
            </w:pPr>
            <w:r>
              <w:rPr>
                <w:szCs w:val="21"/>
              </w:rPr>
              <w:t>3.4</w:t>
            </w:r>
          </w:p>
        </w:tc>
        <w:tc>
          <w:tcPr>
            <w:tcW w:w="3686" w:type="dxa"/>
            <w:tcBorders>
              <w:top w:val="single" w:color="auto" w:sz="4" w:space="0"/>
              <w:left w:val="single" w:color="auto" w:sz="4" w:space="0"/>
              <w:bottom w:val="single" w:color="auto" w:sz="4" w:space="0"/>
              <w:right w:val="single" w:color="auto" w:sz="4" w:space="0"/>
            </w:tcBorders>
            <w:vAlign w:val="center"/>
          </w:tcPr>
          <w:p w14:paraId="2E024887">
            <w:pPr>
              <w:keepLines/>
              <w:suppressLineNumbers/>
              <w:suppressAutoHyphens/>
              <w:rPr>
                <w:szCs w:val="21"/>
              </w:rPr>
            </w:pPr>
            <w:r>
              <w:rPr>
                <w:rFonts w:ascii="宋体" w:hAnsi="宋体"/>
                <w:szCs w:val="21"/>
              </w:rPr>
              <w:t>浪费施工水源、电源</w:t>
            </w:r>
          </w:p>
        </w:tc>
        <w:tc>
          <w:tcPr>
            <w:tcW w:w="1559" w:type="dxa"/>
            <w:tcBorders>
              <w:top w:val="single" w:color="auto" w:sz="4" w:space="0"/>
              <w:left w:val="single" w:color="auto" w:sz="4" w:space="0"/>
              <w:bottom w:val="single" w:color="auto" w:sz="4" w:space="0"/>
              <w:right w:val="single" w:color="auto" w:sz="4" w:space="0"/>
            </w:tcBorders>
            <w:vAlign w:val="center"/>
          </w:tcPr>
          <w:p w14:paraId="581A2C29">
            <w:pPr>
              <w:keepLines/>
              <w:suppressLineNumbers/>
              <w:suppressAutoHyphens/>
              <w:rPr>
                <w:szCs w:val="21"/>
              </w:rPr>
            </w:pPr>
            <w:r>
              <w:rPr>
                <w:rFonts w:hint="eastAsia" w:ascii="宋体" w:hAnsi="宋体"/>
                <w:szCs w:val="21"/>
              </w:rPr>
              <w:t>现场进行教育</w:t>
            </w:r>
          </w:p>
        </w:tc>
        <w:tc>
          <w:tcPr>
            <w:tcW w:w="2552" w:type="dxa"/>
            <w:tcBorders>
              <w:top w:val="single" w:color="auto" w:sz="4" w:space="0"/>
              <w:left w:val="single" w:color="auto" w:sz="4" w:space="0"/>
              <w:bottom w:val="single" w:color="auto" w:sz="4" w:space="0"/>
              <w:right w:val="single" w:color="auto" w:sz="4" w:space="0"/>
            </w:tcBorders>
            <w:vAlign w:val="center"/>
          </w:tcPr>
          <w:p w14:paraId="0A889CA2">
            <w:pPr>
              <w:keepLines/>
              <w:suppressLineNumbers/>
              <w:suppressAutoHyphens/>
              <w:rPr>
                <w:szCs w:val="21"/>
              </w:rPr>
            </w:pPr>
            <w:r>
              <w:rPr>
                <w:rFonts w:hint="eastAsia"/>
                <w:szCs w:val="21"/>
              </w:rPr>
              <w:t>1</w:t>
            </w:r>
            <w:r>
              <w:rPr>
                <w:szCs w:val="21"/>
              </w:rPr>
              <w:t>000</w:t>
            </w:r>
            <w:r>
              <w:rPr>
                <w:rFonts w:ascii="宋体" w:hAnsi="宋体"/>
                <w:szCs w:val="21"/>
              </w:rPr>
              <w:t>元／次</w:t>
            </w:r>
          </w:p>
        </w:tc>
      </w:tr>
      <w:tr w14:paraId="0D82C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6E7FAC5E">
            <w:pPr>
              <w:keepLines/>
              <w:suppressLineNumbers/>
              <w:suppressAutoHyphens/>
              <w:jc w:val="center"/>
              <w:rPr>
                <w:szCs w:val="21"/>
              </w:rPr>
            </w:pPr>
            <w:r>
              <w:rPr>
                <w:szCs w:val="21"/>
              </w:rPr>
              <w:t>3.5</w:t>
            </w:r>
          </w:p>
        </w:tc>
        <w:tc>
          <w:tcPr>
            <w:tcW w:w="3686" w:type="dxa"/>
            <w:tcBorders>
              <w:top w:val="single" w:color="auto" w:sz="4" w:space="0"/>
              <w:left w:val="single" w:color="auto" w:sz="4" w:space="0"/>
              <w:bottom w:val="single" w:color="auto" w:sz="4" w:space="0"/>
              <w:right w:val="single" w:color="auto" w:sz="4" w:space="0"/>
            </w:tcBorders>
            <w:vAlign w:val="center"/>
          </w:tcPr>
          <w:p w14:paraId="0EA3082C">
            <w:pPr>
              <w:keepLines/>
              <w:suppressLineNumbers/>
              <w:suppressAutoHyphens/>
              <w:rPr>
                <w:szCs w:val="21"/>
              </w:rPr>
            </w:pPr>
            <w:r>
              <w:rPr>
                <w:rFonts w:ascii="宋体" w:hAnsi="宋体"/>
                <w:szCs w:val="21"/>
              </w:rPr>
              <w:t>墙面乱涂乱画</w:t>
            </w:r>
          </w:p>
        </w:tc>
        <w:tc>
          <w:tcPr>
            <w:tcW w:w="1559" w:type="dxa"/>
            <w:tcBorders>
              <w:top w:val="single" w:color="auto" w:sz="4" w:space="0"/>
              <w:left w:val="single" w:color="auto" w:sz="4" w:space="0"/>
              <w:bottom w:val="single" w:color="auto" w:sz="4" w:space="0"/>
              <w:right w:val="single" w:color="auto" w:sz="4" w:space="0"/>
            </w:tcBorders>
            <w:vAlign w:val="center"/>
          </w:tcPr>
          <w:p w14:paraId="3356E3D6">
            <w:pPr>
              <w:keepLines/>
              <w:suppressLineNumbers/>
              <w:suppressAutoHyphens/>
              <w:rPr>
                <w:szCs w:val="21"/>
              </w:rPr>
            </w:pPr>
            <w:r>
              <w:rPr>
                <w:rFonts w:ascii="宋体" w:hAnsi="宋体"/>
                <w:szCs w:val="21"/>
              </w:rPr>
              <w:t>限期清理</w:t>
            </w:r>
          </w:p>
        </w:tc>
        <w:tc>
          <w:tcPr>
            <w:tcW w:w="2552" w:type="dxa"/>
            <w:tcBorders>
              <w:top w:val="single" w:color="auto" w:sz="4" w:space="0"/>
              <w:left w:val="single" w:color="auto" w:sz="4" w:space="0"/>
              <w:bottom w:val="single" w:color="auto" w:sz="4" w:space="0"/>
              <w:right w:val="single" w:color="auto" w:sz="4" w:space="0"/>
            </w:tcBorders>
            <w:vAlign w:val="center"/>
          </w:tcPr>
          <w:p w14:paraId="5845EC08">
            <w:pPr>
              <w:keepLines/>
              <w:suppressLineNumbers/>
              <w:suppressAutoHyphens/>
              <w:rPr>
                <w:szCs w:val="21"/>
              </w:rPr>
            </w:pPr>
            <w:r>
              <w:rPr>
                <w:rFonts w:hint="eastAsia"/>
                <w:szCs w:val="21"/>
              </w:rPr>
              <w:t>1</w:t>
            </w:r>
            <w:r>
              <w:rPr>
                <w:szCs w:val="21"/>
              </w:rPr>
              <w:t>000</w:t>
            </w:r>
            <w:r>
              <w:rPr>
                <w:rFonts w:ascii="宋体" w:hAnsi="宋体"/>
                <w:szCs w:val="21"/>
              </w:rPr>
              <w:t>元／处</w:t>
            </w:r>
          </w:p>
        </w:tc>
      </w:tr>
      <w:tr w14:paraId="1098E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7712472E">
            <w:pPr>
              <w:keepLines/>
              <w:suppressLineNumbers/>
              <w:suppressAutoHyphens/>
              <w:jc w:val="center"/>
              <w:rPr>
                <w:szCs w:val="21"/>
              </w:rPr>
            </w:pPr>
            <w:r>
              <w:rPr>
                <w:szCs w:val="21"/>
              </w:rPr>
              <w:t>3.6</w:t>
            </w:r>
          </w:p>
        </w:tc>
        <w:tc>
          <w:tcPr>
            <w:tcW w:w="3686" w:type="dxa"/>
            <w:tcBorders>
              <w:top w:val="single" w:color="auto" w:sz="4" w:space="0"/>
              <w:left w:val="single" w:color="auto" w:sz="4" w:space="0"/>
              <w:bottom w:val="single" w:color="auto" w:sz="4" w:space="0"/>
              <w:right w:val="single" w:color="auto" w:sz="4" w:space="0"/>
            </w:tcBorders>
            <w:vAlign w:val="center"/>
          </w:tcPr>
          <w:p w14:paraId="0615857A">
            <w:pPr>
              <w:keepLines/>
              <w:suppressLineNumbers/>
              <w:suppressAutoHyphens/>
              <w:rPr>
                <w:szCs w:val="21"/>
              </w:rPr>
            </w:pPr>
            <w:r>
              <w:rPr>
                <w:rFonts w:ascii="宋体" w:hAnsi="宋体"/>
                <w:szCs w:val="21"/>
              </w:rPr>
              <w:t>施工现场有烟头</w:t>
            </w:r>
          </w:p>
        </w:tc>
        <w:tc>
          <w:tcPr>
            <w:tcW w:w="1559" w:type="dxa"/>
            <w:tcBorders>
              <w:top w:val="single" w:color="auto" w:sz="4" w:space="0"/>
              <w:left w:val="single" w:color="auto" w:sz="4" w:space="0"/>
              <w:bottom w:val="single" w:color="auto" w:sz="4" w:space="0"/>
              <w:right w:val="single" w:color="auto" w:sz="4" w:space="0"/>
            </w:tcBorders>
            <w:vAlign w:val="center"/>
          </w:tcPr>
          <w:p w14:paraId="0E6FF596">
            <w:pPr>
              <w:keepLines/>
              <w:suppressLineNumbers/>
              <w:suppressAutoHyphens/>
              <w:rPr>
                <w:szCs w:val="21"/>
              </w:rPr>
            </w:pPr>
            <w:r>
              <w:rPr>
                <w:rFonts w:ascii="宋体" w:hAnsi="宋体"/>
                <w:szCs w:val="21"/>
              </w:rPr>
              <w:t>限期清理</w:t>
            </w:r>
          </w:p>
        </w:tc>
        <w:tc>
          <w:tcPr>
            <w:tcW w:w="2552" w:type="dxa"/>
            <w:tcBorders>
              <w:top w:val="single" w:color="auto" w:sz="4" w:space="0"/>
              <w:left w:val="single" w:color="auto" w:sz="4" w:space="0"/>
              <w:bottom w:val="single" w:color="auto" w:sz="4" w:space="0"/>
              <w:right w:val="single" w:color="auto" w:sz="4" w:space="0"/>
            </w:tcBorders>
            <w:vAlign w:val="center"/>
          </w:tcPr>
          <w:p w14:paraId="1450E18E">
            <w:pPr>
              <w:keepLines/>
              <w:suppressLineNumbers/>
              <w:suppressAutoHyphens/>
              <w:rPr>
                <w:szCs w:val="21"/>
              </w:rPr>
            </w:pPr>
            <w:r>
              <w:rPr>
                <w:rFonts w:hint="eastAsia"/>
                <w:szCs w:val="21"/>
              </w:rPr>
              <w:t>1</w:t>
            </w:r>
            <w:r>
              <w:rPr>
                <w:szCs w:val="21"/>
              </w:rPr>
              <w:t>00</w:t>
            </w:r>
            <w:r>
              <w:rPr>
                <w:rFonts w:ascii="宋体" w:hAnsi="宋体"/>
                <w:szCs w:val="21"/>
              </w:rPr>
              <w:t>元／个</w:t>
            </w:r>
          </w:p>
        </w:tc>
      </w:tr>
      <w:tr w14:paraId="5D68D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39C8EE63">
            <w:pPr>
              <w:keepLines/>
              <w:suppressLineNumbers/>
              <w:suppressAutoHyphens/>
              <w:jc w:val="center"/>
              <w:rPr>
                <w:szCs w:val="21"/>
              </w:rPr>
            </w:pPr>
            <w:r>
              <w:rPr>
                <w:szCs w:val="21"/>
              </w:rPr>
              <w:t>3.7</w:t>
            </w:r>
          </w:p>
        </w:tc>
        <w:tc>
          <w:tcPr>
            <w:tcW w:w="3686" w:type="dxa"/>
            <w:tcBorders>
              <w:top w:val="single" w:color="auto" w:sz="4" w:space="0"/>
              <w:left w:val="single" w:color="auto" w:sz="4" w:space="0"/>
              <w:bottom w:val="single" w:color="auto" w:sz="4" w:space="0"/>
              <w:right w:val="single" w:color="auto" w:sz="4" w:space="0"/>
            </w:tcBorders>
            <w:vAlign w:val="center"/>
          </w:tcPr>
          <w:p w14:paraId="027A7489">
            <w:pPr>
              <w:keepLines/>
              <w:suppressLineNumbers/>
              <w:suppressAutoHyphens/>
              <w:rPr>
                <w:szCs w:val="21"/>
              </w:rPr>
            </w:pPr>
            <w:r>
              <w:rPr>
                <w:rFonts w:ascii="宋体" w:hAnsi="宋体"/>
                <w:szCs w:val="21"/>
              </w:rPr>
              <w:t>施工现场有吸烟者</w:t>
            </w:r>
          </w:p>
        </w:tc>
        <w:tc>
          <w:tcPr>
            <w:tcW w:w="1559" w:type="dxa"/>
            <w:tcBorders>
              <w:top w:val="single" w:color="auto" w:sz="4" w:space="0"/>
              <w:left w:val="single" w:color="auto" w:sz="4" w:space="0"/>
              <w:bottom w:val="single" w:color="auto" w:sz="4" w:space="0"/>
              <w:right w:val="single" w:color="auto" w:sz="4" w:space="0"/>
            </w:tcBorders>
            <w:vAlign w:val="center"/>
          </w:tcPr>
          <w:p w14:paraId="3AC8D01B">
            <w:pPr>
              <w:keepLines/>
              <w:suppressLineNumbers/>
              <w:suppressAutoHyphens/>
              <w:rPr>
                <w:szCs w:val="21"/>
              </w:rPr>
            </w:pPr>
            <w:r>
              <w:rPr>
                <w:rFonts w:hint="eastAsia" w:ascii="宋体" w:hAnsi="宋体"/>
                <w:szCs w:val="21"/>
              </w:rPr>
              <w:t>现场进行教育</w:t>
            </w:r>
          </w:p>
        </w:tc>
        <w:tc>
          <w:tcPr>
            <w:tcW w:w="2552" w:type="dxa"/>
            <w:tcBorders>
              <w:top w:val="single" w:color="auto" w:sz="4" w:space="0"/>
              <w:left w:val="single" w:color="auto" w:sz="4" w:space="0"/>
              <w:bottom w:val="single" w:color="auto" w:sz="4" w:space="0"/>
              <w:right w:val="single" w:color="auto" w:sz="4" w:space="0"/>
            </w:tcBorders>
            <w:vAlign w:val="center"/>
          </w:tcPr>
          <w:p w14:paraId="7F85698B">
            <w:pPr>
              <w:keepLines/>
              <w:suppressLineNumbers/>
              <w:suppressAutoHyphens/>
              <w:rPr>
                <w:szCs w:val="21"/>
              </w:rPr>
            </w:pPr>
            <w:r>
              <w:rPr>
                <w:rFonts w:hint="eastAsia"/>
                <w:szCs w:val="21"/>
              </w:rPr>
              <w:t>1</w:t>
            </w:r>
            <w:r>
              <w:rPr>
                <w:szCs w:val="21"/>
              </w:rPr>
              <w:t>00</w:t>
            </w:r>
            <w:r>
              <w:rPr>
                <w:rFonts w:ascii="宋体" w:hAnsi="宋体"/>
                <w:szCs w:val="21"/>
              </w:rPr>
              <w:t>元／人</w:t>
            </w:r>
          </w:p>
        </w:tc>
      </w:tr>
      <w:tr w14:paraId="6D469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34A0E063">
            <w:pPr>
              <w:keepLines/>
              <w:suppressLineNumbers/>
              <w:suppressAutoHyphens/>
              <w:jc w:val="center"/>
              <w:rPr>
                <w:szCs w:val="21"/>
              </w:rPr>
            </w:pPr>
            <w:r>
              <w:rPr>
                <w:szCs w:val="21"/>
              </w:rPr>
              <w:t>3.8</w:t>
            </w:r>
          </w:p>
        </w:tc>
        <w:tc>
          <w:tcPr>
            <w:tcW w:w="3686" w:type="dxa"/>
            <w:tcBorders>
              <w:top w:val="single" w:color="auto" w:sz="4" w:space="0"/>
              <w:left w:val="single" w:color="auto" w:sz="4" w:space="0"/>
              <w:bottom w:val="single" w:color="auto" w:sz="4" w:space="0"/>
              <w:right w:val="single" w:color="auto" w:sz="4" w:space="0"/>
            </w:tcBorders>
            <w:vAlign w:val="center"/>
          </w:tcPr>
          <w:p w14:paraId="137E3371">
            <w:pPr>
              <w:keepLines/>
              <w:suppressLineNumbers/>
              <w:suppressAutoHyphens/>
              <w:rPr>
                <w:szCs w:val="21"/>
              </w:rPr>
            </w:pPr>
            <w:r>
              <w:rPr>
                <w:rFonts w:ascii="宋体" w:hAnsi="宋体"/>
                <w:szCs w:val="21"/>
              </w:rPr>
              <w:t>施工现场有大小便</w:t>
            </w:r>
          </w:p>
        </w:tc>
        <w:tc>
          <w:tcPr>
            <w:tcW w:w="1559" w:type="dxa"/>
            <w:tcBorders>
              <w:top w:val="single" w:color="auto" w:sz="4" w:space="0"/>
              <w:left w:val="single" w:color="auto" w:sz="4" w:space="0"/>
              <w:bottom w:val="single" w:color="auto" w:sz="4" w:space="0"/>
              <w:right w:val="single" w:color="auto" w:sz="4" w:space="0"/>
            </w:tcBorders>
            <w:vAlign w:val="center"/>
          </w:tcPr>
          <w:p w14:paraId="5CA235F6">
            <w:pPr>
              <w:keepLines/>
              <w:suppressLineNumbers/>
              <w:suppressAutoHyphens/>
              <w:rPr>
                <w:szCs w:val="21"/>
              </w:rPr>
            </w:pPr>
            <w:r>
              <w:rPr>
                <w:rFonts w:ascii="宋体" w:hAnsi="宋体"/>
                <w:szCs w:val="21"/>
              </w:rPr>
              <w:t>限期清理</w:t>
            </w:r>
          </w:p>
        </w:tc>
        <w:tc>
          <w:tcPr>
            <w:tcW w:w="2552" w:type="dxa"/>
            <w:tcBorders>
              <w:top w:val="single" w:color="auto" w:sz="4" w:space="0"/>
              <w:left w:val="single" w:color="auto" w:sz="4" w:space="0"/>
              <w:bottom w:val="single" w:color="auto" w:sz="4" w:space="0"/>
              <w:right w:val="single" w:color="auto" w:sz="4" w:space="0"/>
            </w:tcBorders>
            <w:vAlign w:val="center"/>
          </w:tcPr>
          <w:p w14:paraId="728EE1F5">
            <w:pPr>
              <w:keepLines/>
              <w:suppressLineNumbers/>
              <w:suppressAutoHyphens/>
              <w:rPr>
                <w:szCs w:val="21"/>
              </w:rPr>
            </w:pPr>
            <w:r>
              <w:rPr>
                <w:rFonts w:hint="eastAsia"/>
                <w:szCs w:val="21"/>
              </w:rPr>
              <w:t>1</w:t>
            </w:r>
            <w:r>
              <w:rPr>
                <w:szCs w:val="21"/>
              </w:rPr>
              <w:t>00</w:t>
            </w:r>
            <w:r>
              <w:rPr>
                <w:rFonts w:ascii="宋体" w:hAnsi="宋体"/>
                <w:szCs w:val="21"/>
              </w:rPr>
              <w:t>元／处</w:t>
            </w:r>
          </w:p>
        </w:tc>
      </w:tr>
      <w:tr w14:paraId="25D13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3CE058E3">
            <w:pPr>
              <w:keepLines/>
              <w:suppressLineNumbers/>
              <w:suppressAutoHyphens/>
              <w:jc w:val="center"/>
              <w:rPr>
                <w:szCs w:val="21"/>
              </w:rPr>
            </w:pPr>
            <w:r>
              <w:rPr>
                <w:szCs w:val="21"/>
              </w:rPr>
              <w:t>3.9</w:t>
            </w:r>
          </w:p>
        </w:tc>
        <w:tc>
          <w:tcPr>
            <w:tcW w:w="3686" w:type="dxa"/>
            <w:tcBorders>
              <w:top w:val="single" w:color="auto" w:sz="4" w:space="0"/>
              <w:left w:val="single" w:color="auto" w:sz="4" w:space="0"/>
              <w:bottom w:val="single" w:color="auto" w:sz="4" w:space="0"/>
              <w:right w:val="single" w:color="auto" w:sz="4" w:space="0"/>
            </w:tcBorders>
            <w:vAlign w:val="center"/>
          </w:tcPr>
          <w:p w14:paraId="4C7DF92E">
            <w:pPr>
              <w:keepLines/>
              <w:suppressLineNumbers/>
              <w:suppressAutoHyphens/>
              <w:rPr>
                <w:rFonts w:hint="eastAsia" w:ascii="宋体" w:hAnsi="宋体"/>
                <w:szCs w:val="21"/>
              </w:rPr>
            </w:pPr>
            <w:r>
              <w:rPr>
                <w:rFonts w:ascii="宋体" w:hAnsi="宋体"/>
                <w:szCs w:val="21"/>
              </w:rPr>
              <w:t>消防设施配备不齐</w:t>
            </w:r>
            <w:r>
              <w:rPr>
                <w:rFonts w:hint="eastAsia" w:ascii="宋体" w:hAnsi="宋体"/>
                <w:szCs w:val="21"/>
              </w:rPr>
              <w:t>，存在无消防水现象</w:t>
            </w:r>
          </w:p>
        </w:tc>
        <w:tc>
          <w:tcPr>
            <w:tcW w:w="1559" w:type="dxa"/>
            <w:tcBorders>
              <w:top w:val="single" w:color="auto" w:sz="4" w:space="0"/>
              <w:left w:val="single" w:color="auto" w:sz="4" w:space="0"/>
              <w:bottom w:val="single" w:color="auto" w:sz="4" w:space="0"/>
              <w:right w:val="single" w:color="auto" w:sz="4" w:space="0"/>
            </w:tcBorders>
            <w:vAlign w:val="center"/>
          </w:tcPr>
          <w:p w14:paraId="1C355EBC">
            <w:pPr>
              <w:keepLines/>
              <w:suppressLineNumbers/>
              <w:suppressAutoHyphens/>
              <w:rPr>
                <w:szCs w:val="21"/>
              </w:rPr>
            </w:pPr>
            <w:r>
              <w:rPr>
                <w:rFonts w:ascii="宋体" w:hAnsi="宋体"/>
                <w:szCs w:val="21"/>
              </w:rPr>
              <w:t>限期整改</w:t>
            </w:r>
          </w:p>
        </w:tc>
        <w:tc>
          <w:tcPr>
            <w:tcW w:w="2552" w:type="dxa"/>
            <w:tcBorders>
              <w:top w:val="single" w:color="auto" w:sz="4" w:space="0"/>
              <w:left w:val="single" w:color="auto" w:sz="4" w:space="0"/>
              <w:bottom w:val="single" w:color="auto" w:sz="4" w:space="0"/>
              <w:right w:val="single" w:color="auto" w:sz="4" w:space="0"/>
            </w:tcBorders>
            <w:vAlign w:val="center"/>
          </w:tcPr>
          <w:p w14:paraId="56166638">
            <w:pPr>
              <w:keepLines/>
              <w:suppressLineNumbers/>
              <w:suppressAutoHyphens/>
              <w:rPr>
                <w:szCs w:val="21"/>
              </w:rPr>
            </w:pPr>
            <w:r>
              <w:rPr>
                <w:rFonts w:hint="eastAsia"/>
                <w:szCs w:val="21"/>
              </w:rPr>
              <w:t>1</w:t>
            </w:r>
            <w:r>
              <w:rPr>
                <w:szCs w:val="21"/>
              </w:rPr>
              <w:t>00</w:t>
            </w:r>
            <w:r>
              <w:rPr>
                <w:rFonts w:hint="eastAsia"/>
                <w:szCs w:val="21"/>
              </w:rPr>
              <w:t>0</w:t>
            </w:r>
            <w:r>
              <w:rPr>
                <w:rFonts w:ascii="宋体" w:hAnsi="宋体"/>
                <w:szCs w:val="21"/>
              </w:rPr>
              <w:t>元／次</w:t>
            </w:r>
          </w:p>
        </w:tc>
      </w:tr>
      <w:tr w14:paraId="51BB6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1FEFFCEF">
            <w:pPr>
              <w:keepLines/>
              <w:suppressLineNumbers/>
              <w:suppressAutoHyphens/>
              <w:jc w:val="center"/>
              <w:rPr>
                <w:szCs w:val="21"/>
              </w:rPr>
            </w:pPr>
            <w:r>
              <w:rPr>
                <w:szCs w:val="21"/>
              </w:rPr>
              <w:t>3.10</w:t>
            </w:r>
          </w:p>
        </w:tc>
        <w:tc>
          <w:tcPr>
            <w:tcW w:w="3686" w:type="dxa"/>
            <w:tcBorders>
              <w:top w:val="single" w:color="auto" w:sz="4" w:space="0"/>
              <w:left w:val="single" w:color="auto" w:sz="4" w:space="0"/>
              <w:bottom w:val="single" w:color="auto" w:sz="4" w:space="0"/>
              <w:right w:val="single" w:color="auto" w:sz="4" w:space="0"/>
            </w:tcBorders>
            <w:vAlign w:val="center"/>
          </w:tcPr>
          <w:p w14:paraId="68B262F6">
            <w:pPr>
              <w:keepLines/>
              <w:suppressLineNumbers/>
              <w:suppressAutoHyphens/>
              <w:rPr>
                <w:szCs w:val="21"/>
              </w:rPr>
            </w:pPr>
            <w:r>
              <w:rPr>
                <w:rFonts w:ascii="宋体" w:hAnsi="宋体"/>
                <w:szCs w:val="21"/>
              </w:rPr>
              <w:t>安全防护设施不到位</w:t>
            </w:r>
          </w:p>
        </w:tc>
        <w:tc>
          <w:tcPr>
            <w:tcW w:w="1559" w:type="dxa"/>
            <w:tcBorders>
              <w:top w:val="single" w:color="auto" w:sz="4" w:space="0"/>
              <w:left w:val="single" w:color="auto" w:sz="4" w:space="0"/>
              <w:bottom w:val="single" w:color="auto" w:sz="4" w:space="0"/>
              <w:right w:val="single" w:color="auto" w:sz="4" w:space="0"/>
            </w:tcBorders>
            <w:vAlign w:val="center"/>
          </w:tcPr>
          <w:p w14:paraId="56F1408C">
            <w:pPr>
              <w:keepLines/>
              <w:suppressLineNumbers/>
              <w:suppressAutoHyphens/>
              <w:rPr>
                <w:szCs w:val="21"/>
              </w:rPr>
            </w:pPr>
            <w:r>
              <w:rPr>
                <w:rFonts w:ascii="宋体" w:hAnsi="宋体"/>
                <w:szCs w:val="21"/>
              </w:rPr>
              <w:t>限期整改</w:t>
            </w:r>
          </w:p>
        </w:tc>
        <w:tc>
          <w:tcPr>
            <w:tcW w:w="2552" w:type="dxa"/>
            <w:tcBorders>
              <w:top w:val="single" w:color="auto" w:sz="4" w:space="0"/>
              <w:left w:val="single" w:color="auto" w:sz="4" w:space="0"/>
              <w:bottom w:val="single" w:color="auto" w:sz="4" w:space="0"/>
              <w:right w:val="single" w:color="auto" w:sz="4" w:space="0"/>
            </w:tcBorders>
            <w:vAlign w:val="center"/>
          </w:tcPr>
          <w:p w14:paraId="585E5AD9">
            <w:pPr>
              <w:keepLines/>
              <w:suppressLineNumbers/>
              <w:suppressAutoHyphens/>
              <w:rPr>
                <w:szCs w:val="21"/>
              </w:rPr>
            </w:pPr>
            <w:r>
              <w:rPr>
                <w:rFonts w:hint="eastAsia"/>
                <w:szCs w:val="21"/>
              </w:rPr>
              <w:t>1000</w:t>
            </w:r>
            <w:r>
              <w:rPr>
                <w:rFonts w:ascii="宋体" w:hAnsi="宋体"/>
                <w:szCs w:val="21"/>
              </w:rPr>
              <w:t>元／次</w:t>
            </w:r>
          </w:p>
        </w:tc>
      </w:tr>
      <w:tr w14:paraId="77DBB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55D12D29">
            <w:pPr>
              <w:keepLines/>
              <w:suppressLineNumbers/>
              <w:suppressAutoHyphens/>
              <w:jc w:val="center"/>
              <w:rPr>
                <w:szCs w:val="21"/>
              </w:rPr>
            </w:pPr>
            <w:r>
              <w:rPr>
                <w:szCs w:val="21"/>
              </w:rPr>
              <w:t>3.11</w:t>
            </w:r>
          </w:p>
        </w:tc>
        <w:tc>
          <w:tcPr>
            <w:tcW w:w="3686" w:type="dxa"/>
            <w:tcBorders>
              <w:top w:val="single" w:color="auto" w:sz="4" w:space="0"/>
              <w:left w:val="single" w:color="auto" w:sz="4" w:space="0"/>
              <w:bottom w:val="single" w:color="auto" w:sz="4" w:space="0"/>
              <w:right w:val="single" w:color="auto" w:sz="4" w:space="0"/>
            </w:tcBorders>
            <w:vAlign w:val="center"/>
          </w:tcPr>
          <w:p w14:paraId="22588831">
            <w:pPr>
              <w:keepLines/>
              <w:suppressLineNumbers/>
              <w:suppressAutoHyphens/>
              <w:rPr>
                <w:szCs w:val="21"/>
              </w:rPr>
            </w:pPr>
            <w:r>
              <w:rPr>
                <w:rFonts w:ascii="宋体" w:hAnsi="宋体"/>
                <w:szCs w:val="21"/>
              </w:rPr>
              <w:t>施工通道／作业面无照明</w:t>
            </w:r>
          </w:p>
        </w:tc>
        <w:tc>
          <w:tcPr>
            <w:tcW w:w="1559" w:type="dxa"/>
            <w:tcBorders>
              <w:top w:val="single" w:color="auto" w:sz="4" w:space="0"/>
              <w:left w:val="single" w:color="auto" w:sz="4" w:space="0"/>
              <w:bottom w:val="single" w:color="auto" w:sz="4" w:space="0"/>
              <w:right w:val="single" w:color="auto" w:sz="4" w:space="0"/>
            </w:tcBorders>
            <w:vAlign w:val="center"/>
          </w:tcPr>
          <w:p w14:paraId="7C9AA907">
            <w:pPr>
              <w:keepLines/>
              <w:suppressLineNumbers/>
              <w:suppressAutoHyphens/>
              <w:rPr>
                <w:szCs w:val="21"/>
              </w:rPr>
            </w:pPr>
            <w:r>
              <w:rPr>
                <w:rFonts w:ascii="宋体" w:hAnsi="宋体"/>
                <w:szCs w:val="21"/>
              </w:rPr>
              <w:t>限期整改</w:t>
            </w:r>
          </w:p>
        </w:tc>
        <w:tc>
          <w:tcPr>
            <w:tcW w:w="2552" w:type="dxa"/>
            <w:tcBorders>
              <w:top w:val="single" w:color="auto" w:sz="4" w:space="0"/>
              <w:left w:val="single" w:color="auto" w:sz="4" w:space="0"/>
              <w:bottom w:val="single" w:color="auto" w:sz="4" w:space="0"/>
              <w:right w:val="single" w:color="auto" w:sz="4" w:space="0"/>
            </w:tcBorders>
            <w:vAlign w:val="center"/>
          </w:tcPr>
          <w:p w14:paraId="49A38496">
            <w:pPr>
              <w:keepLines/>
              <w:suppressLineNumbers/>
              <w:suppressAutoHyphens/>
              <w:rPr>
                <w:szCs w:val="21"/>
              </w:rPr>
            </w:pPr>
            <w:r>
              <w:rPr>
                <w:rFonts w:hint="eastAsia"/>
                <w:szCs w:val="21"/>
              </w:rPr>
              <w:t>1</w:t>
            </w:r>
            <w:r>
              <w:rPr>
                <w:szCs w:val="21"/>
              </w:rPr>
              <w:t>00</w:t>
            </w:r>
            <w:r>
              <w:rPr>
                <w:rFonts w:ascii="宋体" w:hAnsi="宋体"/>
                <w:szCs w:val="21"/>
              </w:rPr>
              <w:t>元／次</w:t>
            </w:r>
          </w:p>
        </w:tc>
      </w:tr>
      <w:tr w14:paraId="082DE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701EB90D">
            <w:pPr>
              <w:keepLines/>
              <w:suppressLineNumbers/>
              <w:suppressAutoHyphens/>
              <w:jc w:val="center"/>
              <w:rPr>
                <w:szCs w:val="21"/>
              </w:rPr>
            </w:pPr>
            <w:r>
              <w:rPr>
                <w:szCs w:val="21"/>
              </w:rPr>
              <w:t>3.12</w:t>
            </w:r>
          </w:p>
        </w:tc>
        <w:tc>
          <w:tcPr>
            <w:tcW w:w="3686" w:type="dxa"/>
            <w:tcBorders>
              <w:top w:val="single" w:color="auto" w:sz="4" w:space="0"/>
              <w:left w:val="single" w:color="auto" w:sz="4" w:space="0"/>
              <w:bottom w:val="single" w:color="auto" w:sz="4" w:space="0"/>
              <w:right w:val="single" w:color="auto" w:sz="4" w:space="0"/>
            </w:tcBorders>
            <w:vAlign w:val="center"/>
          </w:tcPr>
          <w:p w14:paraId="679C89A9">
            <w:pPr>
              <w:keepLines/>
              <w:suppressLineNumbers/>
              <w:suppressAutoHyphens/>
              <w:rPr>
                <w:szCs w:val="21"/>
              </w:rPr>
            </w:pPr>
            <w:r>
              <w:rPr>
                <w:rFonts w:ascii="宋体" w:hAnsi="宋体"/>
                <w:szCs w:val="21"/>
              </w:rPr>
              <w:t>施工人员不带安全帽</w:t>
            </w:r>
          </w:p>
        </w:tc>
        <w:tc>
          <w:tcPr>
            <w:tcW w:w="1559" w:type="dxa"/>
            <w:tcBorders>
              <w:top w:val="single" w:color="auto" w:sz="4" w:space="0"/>
              <w:left w:val="single" w:color="auto" w:sz="4" w:space="0"/>
              <w:bottom w:val="single" w:color="auto" w:sz="4" w:space="0"/>
              <w:right w:val="single" w:color="auto" w:sz="4" w:space="0"/>
            </w:tcBorders>
            <w:vAlign w:val="center"/>
          </w:tcPr>
          <w:p w14:paraId="4C53780F">
            <w:pPr>
              <w:keepLines/>
              <w:suppressLineNumbers/>
              <w:suppressAutoHyphens/>
              <w:rPr>
                <w:szCs w:val="21"/>
              </w:rPr>
            </w:pPr>
            <w:r>
              <w:rPr>
                <w:rFonts w:hint="eastAsia" w:ascii="宋体" w:hAnsi="宋体"/>
                <w:szCs w:val="21"/>
              </w:rPr>
              <w:t>现场进行教育</w:t>
            </w:r>
          </w:p>
        </w:tc>
        <w:tc>
          <w:tcPr>
            <w:tcW w:w="2552" w:type="dxa"/>
            <w:tcBorders>
              <w:top w:val="single" w:color="auto" w:sz="4" w:space="0"/>
              <w:left w:val="single" w:color="auto" w:sz="4" w:space="0"/>
              <w:bottom w:val="single" w:color="auto" w:sz="4" w:space="0"/>
              <w:right w:val="single" w:color="auto" w:sz="4" w:space="0"/>
            </w:tcBorders>
            <w:vAlign w:val="center"/>
          </w:tcPr>
          <w:p w14:paraId="3B248752">
            <w:pPr>
              <w:keepLines/>
              <w:suppressLineNumbers/>
              <w:suppressAutoHyphens/>
              <w:rPr>
                <w:szCs w:val="21"/>
              </w:rPr>
            </w:pPr>
            <w:r>
              <w:rPr>
                <w:rFonts w:hint="eastAsia"/>
                <w:szCs w:val="21"/>
              </w:rPr>
              <w:t>1</w:t>
            </w:r>
            <w:r>
              <w:rPr>
                <w:szCs w:val="21"/>
              </w:rPr>
              <w:t>00</w:t>
            </w:r>
            <w:r>
              <w:rPr>
                <w:rFonts w:ascii="宋体" w:hAnsi="宋体"/>
                <w:szCs w:val="21"/>
              </w:rPr>
              <w:t>元／人</w:t>
            </w:r>
          </w:p>
        </w:tc>
      </w:tr>
      <w:tr w14:paraId="614D2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1BE6C52A">
            <w:pPr>
              <w:keepLines/>
              <w:suppressLineNumbers/>
              <w:suppressAutoHyphens/>
              <w:jc w:val="center"/>
              <w:rPr>
                <w:szCs w:val="21"/>
              </w:rPr>
            </w:pPr>
            <w:r>
              <w:rPr>
                <w:szCs w:val="21"/>
              </w:rPr>
              <w:t>3.13</w:t>
            </w:r>
          </w:p>
        </w:tc>
        <w:tc>
          <w:tcPr>
            <w:tcW w:w="3686" w:type="dxa"/>
            <w:tcBorders>
              <w:top w:val="single" w:color="auto" w:sz="4" w:space="0"/>
              <w:left w:val="single" w:color="auto" w:sz="4" w:space="0"/>
              <w:bottom w:val="single" w:color="auto" w:sz="4" w:space="0"/>
              <w:right w:val="single" w:color="auto" w:sz="4" w:space="0"/>
            </w:tcBorders>
            <w:vAlign w:val="center"/>
          </w:tcPr>
          <w:p w14:paraId="2DEBF0E9">
            <w:pPr>
              <w:keepLines/>
              <w:suppressLineNumbers/>
              <w:suppressAutoHyphens/>
              <w:rPr>
                <w:szCs w:val="21"/>
              </w:rPr>
            </w:pPr>
            <w:r>
              <w:rPr>
                <w:rFonts w:ascii="宋体" w:hAnsi="宋体"/>
                <w:szCs w:val="21"/>
              </w:rPr>
              <w:t>高空作业人员不系安全带</w:t>
            </w:r>
          </w:p>
        </w:tc>
        <w:tc>
          <w:tcPr>
            <w:tcW w:w="1559" w:type="dxa"/>
            <w:tcBorders>
              <w:top w:val="single" w:color="auto" w:sz="4" w:space="0"/>
              <w:left w:val="single" w:color="auto" w:sz="4" w:space="0"/>
              <w:bottom w:val="single" w:color="auto" w:sz="4" w:space="0"/>
              <w:right w:val="single" w:color="auto" w:sz="4" w:space="0"/>
            </w:tcBorders>
            <w:vAlign w:val="center"/>
          </w:tcPr>
          <w:p w14:paraId="7AAFD5CD">
            <w:pPr>
              <w:keepLines/>
              <w:suppressLineNumbers/>
              <w:suppressAutoHyphens/>
              <w:rPr>
                <w:szCs w:val="21"/>
              </w:rPr>
            </w:pPr>
            <w:r>
              <w:rPr>
                <w:rFonts w:hint="eastAsia" w:ascii="宋体" w:hAnsi="宋体"/>
                <w:szCs w:val="21"/>
              </w:rPr>
              <w:t>现场进行教育</w:t>
            </w:r>
          </w:p>
        </w:tc>
        <w:tc>
          <w:tcPr>
            <w:tcW w:w="2552" w:type="dxa"/>
            <w:tcBorders>
              <w:top w:val="single" w:color="auto" w:sz="4" w:space="0"/>
              <w:left w:val="single" w:color="auto" w:sz="4" w:space="0"/>
              <w:bottom w:val="single" w:color="auto" w:sz="4" w:space="0"/>
              <w:right w:val="single" w:color="auto" w:sz="4" w:space="0"/>
            </w:tcBorders>
            <w:vAlign w:val="center"/>
          </w:tcPr>
          <w:p w14:paraId="69A9C6FE">
            <w:pPr>
              <w:keepLines/>
              <w:suppressLineNumbers/>
              <w:suppressAutoHyphens/>
              <w:rPr>
                <w:szCs w:val="21"/>
              </w:rPr>
            </w:pPr>
            <w:r>
              <w:rPr>
                <w:rFonts w:hint="eastAsia"/>
                <w:szCs w:val="21"/>
              </w:rPr>
              <w:t>10</w:t>
            </w:r>
            <w:r>
              <w:rPr>
                <w:szCs w:val="21"/>
              </w:rPr>
              <w:t>00</w:t>
            </w:r>
            <w:r>
              <w:rPr>
                <w:rFonts w:ascii="宋体" w:hAnsi="宋体"/>
                <w:szCs w:val="21"/>
              </w:rPr>
              <w:t>元／人</w:t>
            </w:r>
          </w:p>
        </w:tc>
      </w:tr>
      <w:tr w14:paraId="3ACED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3EE3A927">
            <w:pPr>
              <w:keepLines/>
              <w:suppressLineNumbers/>
              <w:suppressAutoHyphens/>
              <w:jc w:val="center"/>
              <w:rPr>
                <w:szCs w:val="21"/>
              </w:rPr>
            </w:pPr>
            <w:r>
              <w:rPr>
                <w:szCs w:val="21"/>
              </w:rPr>
              <w:t>3.14</w:t>
            </w:r>
          </w:p>
        </w:tc>
        <w:tc>
          <w:tcPr>
            <w:tcW w:w="3686" w:type="dxa"/>
            <w:tcBorders>
              <w:top w:val="single" w:color="auto" w:sz="4" w:space="0"/>
              <w:left w:val="single" w:color="auto" w:sz="4" w:space="0"/>
              <w:bottom w:val="single" w:color="auto" w:sz="4" w:space="0"/>
              <w:right w:val="single" w:color="auto" w:sz="4" w:space="0"/>
            </w:tcBorders>
            <w:vAlign w:val="center"/>
          </w:tcPr>
          <w:p w14:paraId="4E0CCEEE">
            <w:pPr>
              <w:keepLines/>
              <w:suppressLineNumbers/>
              <w:suppressAutoHyphens/>
              <w:rPr>
                <w:szCs w:val="21"/>
              </w:rPr>
            </w:pPr>
            <w:r>
              <w:rPr>
                <w:rFonts w:ascii="宋体" w:hAnsi="宋体"/>
                <w:szCs w:val="21"/>
              </w:rPr>
              <w:t>临时电线托地乱接</w:t>
            </w:r>
          </w:p>
        </w:tc>
        <w:tc>
          <w:tcPr>
            <w:tcW w:w="1559" w:type="dxa"/>
            <w:tcBorders>
              <w:top w:val="single" w:color="auto" w:sz="4" w:space="0"/>
              <w:left w:val="single" w:color="auto" w:sz="4" w:space="0"/>
              <w:bottom w:val="single" w:color="auto" w:sz="4" w:space="0"/>
              <w:right w:val="single" w:color="auto" w:sz="4" w:space="0"/>
            </w:tcBorders>
            <w:vAlign w:val="center"/>
          </w:tcPr>
          <w:p w14:paraId="72263E81">
            <w:pPr>
              <w:keepLines/>
              <w:suppressLineNumbers/>
              <w:suppressAutoHyphens/>
              <w:rPr>
                <w:szCs w:val="21"/>
              </w:rPr>
            </w:pPr>
            <w:r>
              <w:rPr>
                <w:rFonts w:ascii="宋体" w:hAnsi="宋体"/>
                <w:szCs w:val="21"/>
              </w:rPr>
              <w:t>限期整改</w:t>
            </w:r>
          </w:p>
        </w:tc>
        <w:tc>
          <w:tcPr>
            <w:tcW w:w="2552" w:type="dxa"/>
            <w:tcBorders>
              <w:top w:val="single" w:color="auto" w:sz="4" w:space="0"/>
              <w:left w:val="single" w:color="auto" w:sz="4" w:space="0"/>
              <w:bottom w:val="single" w:color="auto" w:sz="4" w:space="0"/>
              <w:right w:val="single" w:color="auto" w:sz="4" w:space="0"/>
            </w:tcBorders>
            <w:vAlign w:val="center"/>
          </w:tcPr>
          <w:p w14:paraId="054A0F25">
            <w:pPr>
              <w:keepLines/>
              <w:suppressLineNumbers/>
              <w:suppressAutoHyphens/>
              <w:rPr>
                <w:szCs w:val="21"/>
              </w:rPr>
            </w:pPr>
            <w:r>
              <w:rPr>
                <w:rFonts w:hint="eastAsia"/>
                <w:szCs w:val="21"/>
              </w:rPr>
              <w:t>10</w:t>
            </w:r>
            <w:r>
              <w:rPr>
                <w:szCs w:val="21"/>
              </w:rPr>
              <w:t>00</w:t>
            </w:r>
            <w:r>
              <w:rPr>
                <w:rFonts w:ascii="宋体" w:hAnsi="宋体"/>
                <w:szCs w:val="21"/>
              </w:rPr>
              <w:t>元／次</w:t>
            </w:r>
          </w:p>
        </w:tc>
      </w:tr>
      <w:tr w14:paraId="3EFBF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523573D3">
            <w:pPr>
              <w:keepLines/>
              <w:suppressLineNumbers/>
              <w:suppressAutoHyphens/>
              <w:jc w:val="center"/>
              <w:rPr>
                <w:szCs w:val="21"/>
              </w:rPr>
            </w:pPr>
            <w:r>
              <w:rPr>
                <w:szCs w:val="21"/>
              </w:rPr>
              <w:t>3.15</w:t>
            </w:r>
          </w:p>
        </w:tc>
        <w:tc>
          <w:tcPr>
            <w:tcW w:w="3686" w:type="dxa"/>
            <w:tcBorders>
              <w:top w:val="single" w:color="auto" w:sz="4" w:space="0"/>
              <w:left w:val="single" w:color="auto" w:sz="4" w:space="0"/>
              <w:bottom w:val="single" w:color="auto" w:sz="4" w:space="0"/>
              <w:right w:val="single" w:color="auto" w:sz="4" w:space="0"/>
            </w:tcBorders>
            <w:vAlign w:val="center"/>
          </w:tcPr>
          <w:p w14:paraId="00A30F41">
            <w:pPr>
              <w:keepLines/>
              <w:suppressLineNumbers/>
              <w:suppressAutoHyphens/>
              <w:rPr>
                <w:szCs w:val="21"/>
              </w:rPr>
            </w:pPr>
            <w:r>
              <w:rPr>
                <w:rFonts w:ascii="宋体" w:hAnsi="宋体"/>
                <w:szCs w:val="21"/>
              </w:rPr>
              <w:t>作业人员向楼外扔杂物及倾倒垃圾</w:t>
            </w:r>
          </w:p>
        </w:tc>
        <w:tc>
          <w:tcPr>
            <w:tcW w:w="1559" w:type="dxa"/>
            <w:tcBorders>
              <w:top w:val="single" w:color="auto" w:sz="4" w:space="0"/>
              <w:left w:val="single" w:color="auto" w:sz="4" w:space="0"/>
              <w:bottom w:val="single" w:color="auto" w:sz="4" w:space="0"/>
              <w:right w:val="single" w:color="auto" w:sz="4" w:space="0"/>
            </w:tcBorders>
            <w:vAlign w:val="center"/>
          </w:tcPr>
          <w:p w14:paraId="256F23C3">
            <w:pPr>
              <w:keepLines/>
              <w:suppressLineNumbers/>
              <w:suppressAutoHyphens/>
              <w:rPr>
                <w:szCs w:val="21"/>
              </w:rPr>
            </w:pPr>
            <w:r>
              <w:rPr>
                <w:rFonts w:hint="eastAsia" w:ascii="宋体" w:hAnsi="宋体"/>
                <w:szCs w:val="21"/>
              </w:rPr>
              <w:t>限期清理</w:t>
            </w:r>
          </w:p>
        </w:tc>
        <w:tc>
          <w:tcPr>
            <w:tcW w:w="2552" w:type="dxa"/>
            <w:tcBorders>
              <w:top w:val="single" w:color="auto" w:sz="4" w:space="0"/>
              <w:left w:val="single" w:color="auto" w:sz="4" w:space="0"/>
              <w:bottom w:val="single" w:color="auto" w:sz="4" w:space="0"/>
              <w:right w:val="single" w:color="auto" w:sz="4" w:space="0"/>
            </w:tcBorders>
            <w:vAlign w:val="center"/>
          </w:tcPr>
          <w:p w14:paraId="6256B980">
            <w:pPr>
              <w:keepLines/>
              <w:suppressLineNumbers/>
              <w:suppressAutoHyphens/>
              <w:rPr>
                <w:szCs w:val="21"/>
              </w:rPr>
            </w:pPr>
            <w:r>
              <w:rPr>
                <w:rFonts w:hint="eastAsia"/>
                <w:szCs w:val="21"/>
              </w:rPr>
              <w:t>1</w:t>
            </w:r>
            <w:r>
              <w:rPr>
                <w:szCs w:val="21"/>
              </w:rPr>
              <w:t>000</w:t>
            </w:r>
            <w:r>
              <w:rPr>
                <w:rFonts w:ascii="宋体" w:hAnsi="宋体"/>
                <w:szCs w:val="21"/>
              </w:rPr>
              <w:t>元／次</w:t>
            </w:r>
          </w:p>
        </w:tc>
      </w:tr>
      <w:tr w14:paraId="0B5F5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1531D071">
            <w:pPr>
              <w:jc w:val="left"/>
              <w:rPr>
                <w:szCs w:val="21"/>
              </w:rPr>
            </w:pPr>
            <w:r>
              <w:rPr>
                <w:szCs w:val="21"/>
              </w:rPr>
              <w:t>3.16</w:t>
            </w:r>
          </w:p>
        </w:tc>
        <w:tc>
          <w:tcPr>
            <w:tcW w:w="3686" w:type="dxa"/>
            <w:tcBorders>
              <w:top w:val="single" w:color="auto" w:sz="4" w:space="0"/>
              <w:left w:val="single" w:color="auto" w:sz="4" w:space="0"/>
              <w:bottom w:val="single" w:color="auto" w:sz="4" w:space="0"/>
              <w:right w:val="single" w:color="auto" w:sz="4" w:space="0"/>
            </w:tcBorders>
            <w:vAlign w:val="center"/>
          </w:tcPr>
          <w:p w14:paraId="4A6BA506">
            <w:pPr>
              <w:rPr>
                <w:szCs w:val="21"/>
              </w:rPr>
            </w:pPr>
            <w:r>
              <w:rPr>
                <w:rFonts w:ascii="宋体" w:hAnsi="宋体"/>
                <w:szCs w:val="21"/>
              </w:rPr>
              <w:t>未按成品保护细则进行成品保护</w:t>
            </w:r>
          </w:p>
        </w:tc>
        <w:tc>
          <w:tcPr>
            <w:tcW w:w="1559" w:type="dxa"/>
            <w:tcBorders>
              <w:top w:val="single" w:color="auto" w:sz="4" w:space="0"/>
              <w:left w:val="single" w:color="auto" w:sz="4" w:space="0"/>
              <w:bottom w:val="single" w:color="auto" w:sz="4" w:space="0"/>
              <w:right w:val="single" w:color="auto" w:sz="4" w:space="0"/>
            </w:tcBorders>
            <w:vAlign w:val="center"/>
          </w:tcPr>
          <w:p w14:paraId="22E49E56">
            <w:pPr>
              <w:keepLines/>
              <w:suppressLineNumbers/>
              <w:suppressAutoHyphens/>
              <w:rPr>
                <w:szCs w:val="21"/>
              </w:rPr>
            </w:pPr>
            <w:r>
              <w:rPr>
                <w:rFonts w:ascii="宋体" w:hAnsi="宋体"/>
                <w:szCs w:val="21"/>
              </w:rPr>
              <w:t>限期完成</w:t>
            </w:r>
          </w:p>
        </w:tc>
        <w:tc>
          <w:tcPr>
            <w:tcW w:w="2552" w:type="dxa"/>
            <w:tcBorders>
              <w:top w:val="single" w:color="auto" w:sz="4" w:space="0"/>
              <w:left w:val="single" w:color="auto" w:sz="4" w:space="0"/>
              <w:bottom w:val="single" w:color="auto" w:sz="4" w:space="0"/>
              <w:right w:val="single" w:color="auto" w:sz="4" w:space="0"/>
            </w:tcBorders>
            <w:vAlign w:val="center"/>
          </w:tcPr>
          <w:p w14:paraId="4E92FC46">
            <w:pPr>
              <w:keepLines/>
              <w:suppressLineNumbers/>
              <w:suppressAutoHyphens/>
              <w:rPr>
                <w:szCs w:val="21"/>
              </w:rPr>
            </w:pPr>
            <w:r>
              <w:rPr>
                <w:rFonts w:hint="eastAsia"/>
                <w:szCs w:val="21"/>
              </w:rPr>
              <w:t>10</w:t>
            </w:r>
            <w:r>
              <w:rPr>
                <w:szCs w:val="21"/>
              </w:rPr>
              <w:t>00</w:t>
            </w:r>
            <w:r>
              <w:rPr>
                <w:rFonts w:ascii="宋体" w:hAnsi="宋体"/>
                <w:szCs w:val="21"/>
              </w:rPr>
              <w:t>元／次</w:t>
            </w:r>
          </w:p>
        </w:tc>
      </w:tr>
      <w:tr w14:paraId="6A92A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08974E61">
            <w:pPr>
              <w:keepLines/>
              <w:suppressLineNumbers/>
              <w:suppressAutoHyphens/>
              <w:jc w:val="center"/>
              <w:rPr>
                <w:szCs w:val="21"/>
              </w:rPr>
            </w:pPr>
            <w:r>
              <w:rPr>
                <w:szCs w:val="21"/>
              </w:rPr>
              <w:t>3.17</w:t>
            </w:r>
          </w:p>
        </w:tc>
        <w:tc>
          <w:tcPr>
            <w:tcW w:w="3686" w:type="dxa"/>
            <w:tcBorders>
              <w:top w:val="single" w:color="auto" w:sz="4" w:space="0"/>
              <w:left w:val="single" w:color="auto" w:sz="4" w:space="0"/>
              <w:bottom w:val="single" w:color="auto" w:sz="4" w:space="0"/>
              <w:right w:val="single" w:color="auto" w:sz="4" w:space="0"/>
            </w:tcBorders>
            <w:vAlign w:val="center"/>
          </w:tcPr>
          <w:p w14:paraId="14D1875A">
            <w:pPr>
              <w:keepLines/>
              <w:suppressLineNumbers/>
              <w:suppressAutoHyphens/>
              <w:rPr>
                <w:szCs w:val="21"/>
              </w:rPr>
            </w:pPr>
            <w:r>
              <w:rPr>
                <w:rFonts w:ascii="宋体" w:hAnsi="宋体"/>
                <w:szCs w:val="21"/>
              </w:rPr>
              <w:t>损坏已完半成品、成品</w:t>
            </w:r>
          </w:p>
        </w:tc>
        <w:tc>
          <w:tcPr>
            <w:tcW w:w="1559" w:type="dxa"/>
            <w:tcBorders>
              <w:top w:val="single" w:color="auto" w:sz="4" w:space="0"/>
              <w:left w:val="single" w:color="auto" w:sz="4" w:space="0"/>
              <w:bottom w:val="single" w:color="auto" w:sz="4" w:space="0"/>
              <w:right w:val="single" w:color="auto" w:sz="4" w:space="0"/>
            </w:tcBorders>
            <w:vAlign w:val="center"/>
          </w:tcPr>
          <w:p w14:paraId="33BFA0C1">
            <w:pPr>
              <w:keepLines/>
              <w:suppressLineNumbers/>
              <w:suppressAutoHyphens/>
              <w:rPr>
                <w:szCs w:val="21"/>
              </w:rPr>
            </w:pPr>
            <w:r>
              <w:rPr>
                <w:rFonts w:ascii="宋体" w:hAnsi="宋体"/>
                <w:szCs w:val="21"/>
              </w:rPr>
              <w:t>限期修复</w:t>
            </w:r>
          </w:p>
        </w:tc>
        <w:tc>
          <w:tcPr>
            <w:tcW w:w="2552" w:type="dxa"/>
            <w:tcBorders>
              <w:top w:val="single" w:color="auto" w:sz="4" w:space="0"/>
              <w:left w:val="single" w:color="auto" w:sz="4" w:space="0"/>
              <w:bottom w:val="single" w:color="auto" w:sz="4" w:space="0"/>
              <w:right w:val="single" w:color="auto" w:sz="4" w:space="0"/>
            </w:tcBorders>
            <w:vAlign w:val="center"/>
          </w:tcPr>
          <w:p w14:paraId="14DD6BA6">
            <w:pPr>
              <w:keepLines/>
              <w:suppressLineNumbers/>
              <w:suppressAutoHyphens/>
              <w:rPr>
                <w:szCs w:val="21"/>
              </w:rPr>
            </w:pPr>
            <w:r>
              <w:rPr>
                <w:rFonts w:hint="eastAsia"/>
                <w:szCs w:val="21"/>
              </w:rPr>
              <w:t>10</w:t>
            </w:r>
            <w:r>
              <w:rPr>
                <w:szCs w:val="21"/>
              </w:rPr>
              <w:t>00</w:t>
            </w:r>
            <w:r>
              <w:rPr>
                <w:rFonts w:ascii="宋体" w:hAnsi="宋体"/>
                <w:szCs w:val="21"/>
              </w:rPr>
              <w:t>元／次</w:t>
            </w:r>
          </w:p>
        </w:tc>
      </w:tr>
      <w:tr w14:paraId="44BA9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3EF0A7D2">
            <w:pPr>
              <w:keepLines/>
              <w:suppressLineNumbers/>
              <w:suppressAutoHyphens/>
              <w:jc w:val="center"/>
              <w:rPr>
                <w:szCs w:val="21"/>
              </w:rPr>
            </w:pPr>
            <w:r>
              <w:rPr>
                <w:rFonts w:hint="eastAsia"/>
                <w:szCs w:val="21"/>
              </w:rPr>
              <w:t>3</w:t>
            </w:r>
            <w:r>
              <w:rPr>
                <w:rFonts w:hint="eastAsia" w:ascii="宋体" w:hAnsi="宋体"/>
                <w:szCs w:val="21"/>
              </w:rPr>
              <w:t>．</w:t>
            </w:r>
            <w:r>
              <w:rPr>
                <w:rFonts w:hint="eastAsia"/>
                <w:szCs w:val="21"/>
              </w:rPr>
              <w:t>18</w:t>
            </w:r>
          </w:p>
        </w:tc>
        <w:tc>
          <w:tcPr>
            <w:tcW w:w="3686" w:type="dxa"/>
            <w:tcBorders>
              <w:top w:val="single" w:color="auto" w:sz="4" w:space="0"/>
              <w:left w:val="single" w:color="auto" w:sz="4" w:space="0"/>
              <w:bottom w:val="single" w:color="auto" w:sz="4" w:space="0"/>
              <w:right w:val="single" w:color="auto" w:sz="4" w:space="0"/>
            </w:tcBorders>
            <w:vAlign w:val="center"/>
          </w:tcPr>
          <w:p w14:paraId="3852EA7F">
            <w:pPr>
              <w:keepLines/>
              <w:suppressLineNumbers/>
              <w:suppressAutoHyphens/>
              <w:rPr>
                <w:szCs w:val="21"/>
              </w:rPr>
            </w:pPr>
            <w:r>
              <w:rPr>
                <w:rFonts w:ascii="宋体" w:hAnsi="宋体"/>
                <w:szCs w:val="21"/>
              </w:rPr>
              <w:t>现场管理不利（未满足现场封闭管理要求），造成材料、设备丢失或损坏</w:t>
            </w:r>
          </w:p>
        </w:tc>
        <w:tc>
          <w:tcPr>
            <w:tcW w:w="1559" w:type="dxa"/>
            <w:tcBorders>
              <w:top w:val="single" w:color="auto" w:sz="4" w:space="0"/>
              <w:left w:val="single" w:color="auto" w:sz="4" w:space="0"/>
              <w:bottom w:val="single" w:color="auto" w:sz="4" w:space="0"/>
              <w:right w:val="single" w:color="auto" w:sz="4" w:space="0"/>
            </w:tcBorders>
            <w:vAlign w:val="center"/>
          </w:tcPr>
          <w:p w14:paraId="1364892F">
            <w:pPr>
              <w:keepLines/>
              <w:suppressLineNumbers/>
              <w:suppressAutoHyphens/>
              <w:rPr>
                <w:szCs w:val="21"/>
              </w:rPr>
            </w:pPr>
            <w:r>
              <w:rPr>
                <w:rFonts w:ascii="宋体" w:hAnsi="宋体"/>
                <w:szCs w:val="21"/>
              </w:rPr>
              <w:t>限期补货或修复</w:t>
            </w:r>
          </w:p>
        </w:tc>
        <w:tc>
          <w:tcPr>
            <w:tcW w:w="2552" w:type="dxa"/>
            <w:tcBorders>
              <w:top w:val="single" w:color="auto" w:sz="4" w:space="0"/>
              <w:left w:val="single" w:color="auto" w:sz="4" w:space="0"/>
              <w:bottom w:val="single" w:color="auto" w:sz="4" w:space="0"/>
              <w:right w:val="single" w:color="auto" w:sz="4" w:space="0"/>
            </w:tcBorders>
            <w:vAlign w:val="center"/>
          </w:tcPr>
          <w:p w14:paraId="0C6E2B8F">
            <w:pPr>
              <w:keepLines/>
              <w:suppressLineNumbers/>
              <w:suppressAutoHyphens/>
              <w:rPr>
                <w:szCs w:val="21"/>
              </w:rPr>
            </w:pPr>
            <w:r>
              <w:rPr>
                <w:rFonts w:hint="eastAsia"/>
                <w:szCs w:val="21"/>
              </w:rPr>
              <w:t>1</w:t>
            </w:r>
            <w:r>
              <w:rPr>
                <w:szCs w:val="21"/>
              </w:rPr>
              <w:t>000</w:t>
            </w:r>
            <w:r>
              <w:rPr>
                <w:rFonts w:ascii="宋体" w:hAnsi="宋体"/>
                <w:szCs w:val="21"/>
              </w:rPr>
              <w:t>元／次</w:t>
            </w:r>
          </w:p>
        </w:tc>
      </w:tr>
      <w:tr w14:paraId="635C2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09DBD039">
            <w:pPr>
              <w:keepLines/>
              <w:suppressLineNumbers/>
              <w:suppressAutoHyphens/>
              <w:jc w:val="center"/>
              <w:rPr>
                <w:szCs w:val="21"/>
              </w:rPr>
            </w:pPr>
            <w:r>
              <w:rPr>
                <w:szCs w:val="21"/>
              </w:rPr>
              <w:t>3.1</w:t>
            </w:r>
            <w:r>
              <w:rPr>
                <w:rFonts w:hint="eastAsia"/>
                <w:szCs w:val="21"/>
              </w:rPr>
              <w:t>9</w:t>
            </w:r>
          </w:p>
        </w:tc>
        <w:tc>
          <w:tcPr>
            <w:tcW w:w="3686" w:type="dxa"/>
            <w:tcBorders>
              <w:top w:val="single" w:color="auto" w:sz="4" w:space="0"/>
              <w:left w:val="single" w:color="auto" w:sz="4" w:space="0"/>
              <w:bottom w:val="single" w:color="auto" w:sz="4" w:space="0"/>
              <w:right w:val="single" w:color="auto" w:sz="4" w:space="0"/>
            </w:tcBorders>
            <w:vAlign w:val="center"/>
          </w:tcPr>
          <w:p w14:paraId="70FD85D0">
            <w:pPr>
              <w:keepLines/>
              <w:suppressLineNumbers/>
              <w:suppressAutoHyphens/>
              <w:rPr>
                <w:szCs w:val="21"/>
              </w:rPr>
            </w:pPr>
            <w:r>
              <w:rPr>
                <w:rFonts w:ascii="宋体" w:hAnsi="宋体"/>
                <w:szCs w:val="21"/>
              </w:rPr>
              <w:t>在政府部门的检查中受到通报批评</w:t>
            </w:r>
          </w:p>
        </w:tc>
        <w:tc>
          <w:tcPr>
            <w:tcW w:w="1559" w:type="dxa"/>
            <w:tcBorders>
              <w:top w:val="single" w:color="auto" w:sz="4" w:space="0"/>
              <w:left w:val="single" w:color="auto" w:sz="4" w:space="0"/>
              <w:bottom w:val="single" w:color="auto" w:sz="4" w:space="0"/>
              <w:right w:val="single" w:color="auto" w:sz="4" w:space="0"/>
            </w:tcBorders>
            <w:vAlign w:val="center"/>
          </w:tcPr>
          <w:p w14:paraId="0EE2234D">
            <w:pPr>
              <w:keepLines/>
              <w:suppressLineNumbers/>
              <w:suppressAutoHyphens/>
              <w:rPr>
                <w:szCs w:val="21"/>
              </w:rPr>
            </w:pPr>
            <w:r>
              <w:rPr>
                <w:rFonts w:hint="eastAsia" w:ascii="宋体" w:hAnsi="宋体"/>
                <w:szCs w:val="21"/>
              </w:rPr>
              <w:t>责令消除影响</w:t>
            </w:r>
          </w:p>
        </w:tc>
        <w:tc>
          <w:tcPr>
            <w:tcW w:w="2552" w:type="dxa"/>
            <w:tcBorders>
              <w:top w:val="single" w:color="auto" w:sz="4" w:space="0"/>
              <w:left w:val="single" w:color="auto" w:sz="4" w:space="0"/>
              <w:bottom w:val="single" w:color="auto" w:sz="4" w:space="0"/>
              <w:right w:val="single" w:color="auto" w:sz="4" w:space="0"/>
            </w:tcBorders>
            <w:vAlign w:val="center"/>
          </w:tcPr>
          <w:p w14:paraId="765EDEEF">
            <w:pPr>
              <w:keepLines/>
              <w:suppressLineNumbers/>
              <w:suppressAutoHyphens/>
              <w:rPr>
                <w:szCs w:val="21"/>
              </w:rPr>
            </w:pPr>
            <w:r>
              <w:rPr>
                <w:rFonts w:hint="eastAsia"/>
                <w:szCs w:val="21"/>
              </w:rPr>
              <w:t>1</w:t>
            </w:r>
            <w:r>
              <w:rPr>
                <w:szCs w:val="21"/>
              </w:rPr>
              <w:t>000</w:t>
            </w:r>
            <w:r>
              <w:rPr>
                <w:rFonts w:ascii="宋体" w:hAnsi="宋体"/>
                <w:szCs w:val="21"/>
              </w:rPr>
              <w:t>元／次</w:t>
            </w:r>
          </w:p>
        </w:tc>
      </w:tr>
      <w:tr w14:paraId="4FE45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6F4A2671">
            <w:pPr>
              <w:keepLines/>
              <w:suppressLineNumbers/>
              <w:suppressAutoHyphens/>
              <w:jc w:val="center"/>
              <w:rPr>
                <w:szCs w:val="21"/>
              </w:rPr>
            </w:pPr>
            <w:r>
              <w:rPr>
                <w:szCs w:val="21"/>
              </w:rPr>
              <w:t>3.20</w:t>
            </w:r>
          </w:p>
        </w:tc>
        <w:tc>
          <w:tcPr>
            <w:tcW w:w="3686" w:type="dxa"/>
            <w:tcBorders>
              <w:top w:val="single" w:color="auto" w:sz="4" w:space="0"/>
              <w:left w:val="single" w:color="auto" w:sz="4" w:space="0"/>
              <w:bottom w:val="single" w:color="auto" w:sz="4" w:space="0"/>
              <w:right w:val="single" w:color="auto" w:sz="4" w:space="0"/>
            </w:tcBorders>
            <w:vAlign w:val="center"/>
          </w:tcPr>
          <w:p w14:paraId="4E6EBCDF">
            <w:pPr>
              <w:keepLines/>
              <w:suppressLineNumbers/>
              <w:suppressAutoHyphens/>
              <w:rPr>
                <w:szCs w:val="21"/>
              </w:rPr>
            </w:pPr>
            <w:r>
              <w:rPr>
                <w:rFonts w:ascii="宋体" w:hAnsi="宋体"/>
                <w:szCs w:val="21"/>
              </w:rPr>
              <w:t>出现重大安全事故，影响工程正常进行</w:t>
            </w:r>
          </w:p>
        </w:tc>
        <w:tc>
          <w:tcPr>
            <w:tcW w:w="1559" w:type="dxa"/>
            <w:tcBorders>
              <w:top w:val="single" w:color="auto" w:sz="4" w:space="0"/>
              <w:left w:val="single" w:color="auto" w:sz="4" w:space="0"/>
              <w:bottom w:val="single" w:color="auto" w:sz="4" w:space="0"/>
              <w:right w:val="single" w:color="auto" w:sz="4" w:space="0"/>
            </w:tcBorders>
            <w:vAlign w:val="center"/>
          </w:tcPr>
          <w:p w14:paraId="0E9DC19B">
            <w:pPr>
              <w:keepLines/>
              <w:suppressLineNumbers/>
              <w:suppressAutoHyphens/>
              <w:rPr>
                <w:szCs w:val="21"/>
              </w:rPr>
            </w:pPr>
            <w:r>
              <w:rPr>
                <w:rFonts w:hint="eastAsia" w:ascii="宋体" w:hAnsi="宋体"/>
                <w:szCs w:val="21"/>
              </w:rPr>
              <w:t>责令消除影响</w:t>
            </w:r>
          </w:p>
        </w:tc>
        <w:tc>
          <w:tcPr>
            <w:tcW w:w="2552" w:type="dxa"/>
            <w:tcBorders>
              <w:top w:val="single" w:color="auto" w:sz="4" w:space="0"/>
              <w:left w:val="single" w:color="auto" w:sz="4" w:space="0"/>
              <w:bottom w:val="single" w:color="auto" w:sz="4" w:space="0"/>
              <w:right w:val="single" w:color="auto" w:sz="4" w:space="0"/>
            </w:tcBorders>
            <w:vAlign w:val="center"/>
          </w:tcPr>
          <w:p w14:paraId="4151C363">
            <w:pPr>
              <w:keepLines/>
              <w:suppressLineNumbers/>
              <w:suppressAutoHyphens/>
              <w:rPr>
                <w:szCs w:val="21"/>
              </w:rPr>
            </w:pPr>
            <w:r>
              <w:rPr>
                <w:rFonts w:hint="eastAsia"/>
                <w:szCs w:val="21"/>
              </w:rPr>
              <w:t>1</w:t>
            </w:r>
            <w:r>
              <w:rPr>
                <w:szCs w:val="21"/>
              </w:rPr>
              <w:t>0000</w:t>
            </w:r>
            <w:r>
              <w:rPr>
                <w:rFonts w:ascii="宋体" w:hAnsi="宋体"/>
                <w:szCs w:val="21"/>
              </w:rPr>
              <w:t>元／次</w:t>
            </w:r>
          </w:p>
        </w:tc>
      </w:tr>
      <w:tr w14:paraId="6F3BE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7D72049B">
            <w:pPr>
              <w:keepLines/>
              <w:suppressLineNumbers/>
              <w:suppressAutoHyphens/>
              <w:jc w:val="center"/>
              <w:rPr>
                <w:szCs w:val="21"/>
              </w:rPr>
            </w:pPr>
            <w:r>
              <w:rPr>
                <w:szCs w:val="21"/>
              </w:rPr>
              <w:t>3.2</w:t>
            </w:r>
            <w:r>
              <w:rPr>
                <w:rFonts w:hint="eastAsia"/>
                <w:szCs w:val="21"/>
              </w:rPr>
              <w:t>1</w:t>
            </w:r>
          </w:p>
        </w:tc>
        <w:tc>
          <w:tcPr>
            <w:tcW w:w="3686" w:type="dxa"/>
            <w:tcBorders>
              <w:top w:val="single" w:color="auto" w:sz="4" w:space="0"/>
              <w:left w:val="single" w:color="auto" w:sz="4" w:space="0"/>
              <w:bottom w:val="single" w:color="auto" w:sz="4" w:space="0"/>
              <w:right w:val="single" w:color="auto" w:sz="4" w:space="0"/>
            </w:tcBorders>
            <w:vAlign w:val="center"/>
          </w:tcPr>
          <w:p w14:paraId="5FED73D5">
            <w:pPr>
              <w:keepLines/>
              <w:suppressLineNumbers/>
              <w:suppressAutoHyphens/>
              <w:rPr>
                <w:szCs w:val="21"/>
              </w:rPr>
            </w:pPr>
            <w:r>
              <w:rPr>
                <w:rFonts w:ascii="宋体" w:hAnsi="宋体"/>
                <w:szCs w:val="21"/>
              </w:rPr>
              <w:t>未达到合同约定的安全文明施工目标</w:t>
            </w:r>
          </w:p>
        </w:tc>
        <w:tc>
          <w:tcPr>
            <w:tcW w:w="1559" w:type="dxa"/>
            <w:tcBorders>
              <w:top w:val="single" w:color="auto" w:sz="4" w:space="0"/>
              <w:left w:val="single" w:color="auto" w:sz="4" w:space="0"/>
              <w:bottom w:val="single" w:color="auto" w:sz="4" w:space="0"/>
              <w:right w:val="single" w:color="auto" w:sz="4" w:space="0"/>
            </w:tcBorders>
            <w:vAlign w:val="center"/>
          </w:tcPr>
          <w:p w14:paraId="266D89C8">
            <w:pPr>
              <w:keepLines/>
              <w:suppressLineNumbers/>
              <w:suppressAutoHyphens/>
              <w:rPr>
                <w:szCs w:val="21"/>
              </w:rPr>
            </w:pPr>
            <w:r>
              <w:rPr>
                <w:rFonts w:hint="eastAsia" w:ascii="宋体" w:hAnsi="宋体"/>
                <w:szCs w:val="21"/>
              </w:rPr>
              <w:t>限期整改</w:t>
            </w:r>
          </w:p>
        </w:tc>
        <w:tc>
          <w:tcPr>
            <w:tcW w:w="2552" w:type="dxa"/>
            <w:tcBorders>
              <w:top w:val="single" w:color="auto" w:sz="4" w:space="0"/>
              <w:left w:val="single" w:color="auto" w:sz="4" w:space="0"/>
              <w:bottom w:val="single" w:color="auto" w:sz="4" w:space="0"/>
              <w:right w:val="single" w:color="auto" w:sz="4" w:space="0"/>
            </w:tcBorders>
            <w:vAlign w:val="center"/>
          </w:tcPr>
          <w:p w14:paraId="0735B132">
            <w:pPr>
              <w:keepLines/>
              <w:suppressLineNumbers/>
              <w:suppressAutoHyphens/>
              <w:rPr>
                <w:szCs w:val="21"/>
              </w:rPr>
            </w:pPr>
            <w:r>
              <w:rPr>
                <w:rFonts w:hint="eastAsia"/>
                <w:szCs w:val="21"/>
              </w:rPr>
              <w:t>1</w:t>
            </w:r>
            <w:r>
              <w:rPr>
                <w:szCs w:val="21"/>
              </w:rPr>
              <w:t>0000</w:t>
            </w:r>
            <w:r>
              <w:rPr>
                <w:rFonts w:ascii="宋体" w:hAnsi="宋体"/>
                <w:szCs w:val="21"/>
              </w:rPr>
              <w:t>元</w:t>
            </w:r>
          </w:p>
        </w:tc>
      </w:tr>
      <w:tr w14:paraId="1CCB5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38C1B66C">
            <w:pPr>
              <w:keepLines/>
              <w:suppressLineNumbers/>
              <w:suppressAutoHyphens/>
              <w:jc w:val="center"/>
              <w:rPr>
                <w:szCs w:val="21"/>
              </w:rPr>
            </w:pPr>
            <w:r>
              <w:rPr>
                <w:szCs w:val="21"/>
              </w:rPr>
              <w:t>3.2</w:t>
            </w:r>
            <w:r>
              <w:rPr>
                <w:rFonts w:hint="eastAsia"/>
                <w:szCs w:val="21"/>
              </w:rPr>
              <w:t>2</w:t>
            </w:r>
          </w:p>
        </w:tc>
        <w:tc>
          <w:tcPr>
            <w:tcW w:w="3686" w:type="dxa"/>
            <w:tcBorders>
              <w:top w:val="single" w:color="auto" w:sz="4" w:space="0"/>
              <w:left w:val="single" w:color="auto" w:sz="4" w:space="0"/>
              <w:bottom w:val="single" w:color="auto" w:sz="4" w:space="0"/>
              <w:right w:val="single" w:color="auto" w:sz="4" w:space="0"/>
            </w:tcBorders>
            <w:vAlign w:val="center"/>
          </w:tcPr>
          <w:p w14:paraId="4FBB8010">
            <w:pPr>
              <w:keepLines/>
              <w:suppressLineNumbers/>
              <w:suppressAutoHyphens/>
              <w:rPr>
                <w:szCs w:val="21"/>
              </w:rPr>
            </w:pPr>
            <w:r>
              <w:rPr>
                <w:rFonts w:ascii="宋体" w:hAnsi="宋体"/>
                <w:szCs w:val="21"/>
              </w:rPr>
              <w:t>噪声</w:t>
            </w:r>
            <w:r>
              <w:rPr>
                <w:rFonts w:hint="eastAsia" w:ascii="宋体" w:hAnsi="宋体"/>
                <w:szCs w:val="21"/>
              </w:rPr>
              <w:t>、</w:t>
            </w:r>
            <w:r>
              <w:rPr>
                <w:rFonts w:ascii="宋体" w:hAnsi="宋体"/>
                <w:szCs w:val="21"/>
              </w:rPr>
              <w:t>扬尘</w:t>
            </w:r>
            <w:r>
              <w:rPr>
                <w:rFonts w:hint="eastAsia" w:ascii="宋体" w:hAnsi="宋体"/>
                <w:szCs w:val="21"/>
              </w:rPr>
              <w:t>、</w:t>
            </w:r>
            <w:r>
              <w:rPr>
                <w:rFonts w:ascii="宋体" w:hAnsi="宋体"/>
                <w:szCs w:val="21"/>
              </w:rPr>
              <w:t>光污染等引起居民投诉</w:t>
            </w:r>
          </w:p>
        </w:tc>
        <w:tc>
          <w:tcPr>
            <w:tcW w:w="1559" w:type="dxa"/>
            <w:tcBorders>
              <w:top w:val="single" w:color="auto" w:sz="4" w:space="0"/>
              <w:left w:val="single" w:color="auto" w:sz="4" w:space="0"/>
              <w:bottom w:val="single" w:color="auto" w:sz="4" w:space="0"/>
              <w:right w:val="single" w:color="auto" w:sz="4" w:space="0"/>
            </w:tcBorders>
            <w:vAlign w:val="center"/>
          </w:tcPr>
          <w:p w14:paraId="10423C91">
            <w:pPr>
              <w:keepLines/>
              <w:suppressLineNumbers/>
              <w:suppressAutoHyphens/>
              <w:rPr>
                <w:szCs w:val="21"/>
              </w:rPr>
            </w:pPr>
            <w:r>
              <w:rPr>
                <w:rFonts w:hint="eastAsia" w:ascii="宋体" w:hAnsi="宋体"/>
                <w:szCs w:val="21"/>
              </w:rPr>
              <w:t>责令消除影响</w:t>
            </w:r>
          </w:p>
        </w:tc>
        <w:tc>
          <w:tcPr>
            <w:tcW w:w="2552" w:type="dxa"/>
            <w:tcBorders>
              <w:top w:val="single" w:color="auto" w:sz="4" w:space="0"/>
              <w:left w:val="single" w:color="auto" w:sz="4" w:space="0"/>
              <w:bottom w:val="single" w:color="auto" w:sz="4" w:space="0"/>
              <w:right w:val="single" w:color="auto" w:sz="4" w:space="0"/>
            </w:tcBorders>
            <w:vAlign w:val="center"/>
          </w:tcPr>
          <w:p w14:paraId="38F53D12">
            <w:pPr>
              <w:keepLines/>
              <w:suppressLineNumbers/>
              <w:suppressAutoHyphens/>
              <w:rPr>
                <w:szCs w:val="21"/>
              </w:rPr>
            </w:pPr>
            <w:r>
              <w:rPr>
                <w:rFonts w:hint="eastAsia"/>
                <w:szCs w:val="21"/>
              </w:rPr>
              <w:t>1000</w:t>
            </w:r>
            <w:r>
              <w:rPr>
                <w:rFonts w:hint="eastAsia" w:ascii="宋体" w:hAnsi="宋体"/>
                <w:szCs w:val="21"/>
              </w:rPr>
              <w:t>元</w:t>
            </w:r>
            <w:r>
              <w:rPr>
                <w:rFonts w:hint="eastAsia"/>
                <w:szCs w:val="21"/>
              </w:rPr>
              <w:t>/</w:t>
            </w:r>
            <w:r>
              <w:rPr>
                <w:rFonts w:hint="eastAsia" w:ascii="宋体" w:hAnsi="宋体"/>
                <w:szCs w:val="21"/>
              </w:rPr>
              <w:t>次</w:t>
            </w:r>
          </w:p>
        </w:tc>
      </w:tr>
      <w:tr w14:paraId="49A42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71F63A34">
            <w:pPr>
              <w:keepLines/>
              <w:suppressLineNumbers/>
              <w:suppressAutoHyphens/>
              <w:jc w:val="center"/>
              <w:rPr>
                <w:b/>
                <w:szCs w:val="21"/>
              </w:rPr>
            </w:pPr>
            <w:r>
              <w:rPr>
                <w:b/>
                <w:szCs w:val="21"/>
              </w:rPr>
              <w:t>4</w:t>
            </w:r>
          </w:p>
        </w:tc>
        <w:tc>
          <w:tcPr>
            <w:tcW w:w="7797" w:type="dxa"/>
            <w:gridSpan w:val="3"/>
            <w:tcBorders>
              <w:top w:val="single" w:color="auto" w:sz="4" w:space="0"/>
              <w:left w:val="single" w:color="auto" w:sz="4" w:space="0"/>
              <w:bottom w:val="single" w:color="auto" w:sz="4" w:space="0"/>
              <w:right w:val="single" w:color="auto" w:sz="4" w:space="0"/>
            </w:tcBorders>
            <w:vAlign w:val="center"/>
          </w:tcPr>
          <w:p w14:paraId="10812E08">
            <w:pPr>
              <w:keepLines/>
              <w:suppressLineNumbers/>
              <w:suppressAutoHyphens/>
              <w:rPr>
                <w:b/>
                <w:szCs w:val="21"/>
              </w:rPr>
            </w:pPr>
            <w:r>
              <w:rPr>
                <w:rFonts w:ascii="宋体" w:hAnsi="宋体"/>
                <w:b/>
                <w:szCs w:val="21"/>
              </w:rPr>
              <w:t>工程技术能力</w:t>
            </w:r>
          </w:p>
        </w:tc>
      </w:tr>
      <w:tr w14:paraId="75812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089BFDF3">
            <w:pPr>
              <w:keepLines/>
              <w:suppressLineNumbers/>
              <w:suppressAutoHyphens/>
              <w:jc w:val="center"/>
              <w:rPr>
                <w:szCs w:val="21"/>
              </w:rPr>
            </w:pPr>
            <w:r>
              <w:rPr>
                <w:szCs w:val="21"/>
              </w:rPr>
              <w:t>4.1</w:t>
            </w:r>
          </w:p>
        </w:tc>
        <w:tc>
          <w:tcPr>
            <w:tcW w:w="3686" w:type="dxa"/>
            <w:tcBorders>
              <w:top w:val="single" w:color="auto" w:sz="4" w:space="0"/>
              <w:left w:val="single" w:color="auto" w:sz="4" w:space="0"/>
              <w:bottom w:val="single" w:color="auto" w:sz="4" w:space="0"/>
              <w:right w:val="single" w:color="auto" w:sz="4" w:space="0"/>
            </w:tcBorders>
            <w:vAlign w:val="center"/>
          </w:tcPr>
          <w:p w14:paraId="25802E3C">
            <w:pPr>
              <w:keepLines/>
              <w:suppressLineNumbers/>
              <w:suppressAutoHyphens/>
              <w:rPr>
                <w:szCs w:val="21"/>
              </w:rPr>
            </w:pPr>
            <w:r>
              <w:rPr>
                <w:rFonts w:ascii="宋体" w:hAnsi="宋体"/>
                <w:szCs w:val="21"/>
              </w:rPr>
              <w:t>未按施工方案编制计划完成各种方案编制</w:t>
            </w:r>
          </w:p>
        </w:tc>
        <w:tc>
          <w:tcPr>
            <w:tcW w:w="1559" w:type="dxa"/>
            <w:tcBorders>
              <w:top w:val="single" w:color="auto" w:sz="4" w:space="0"/>
              <w:left w:val="single" w:color="auto" w:sz="4" w:space="0"/>
              <w:bottom w:val="single" w:color="auto" w:sz="4" w:space="0"/>
              <w:right w:val="single" w:color="auto" w:sz="4" w:space="0"/>
            </w:tcBorders>
            <w:vAlign w:val="center"/>
          </w:tcPr>
          <w:p w14:paraId="09FBBDCF">
            <w:pPr>
              <w:keepLines/>
              <w:suppressLineNumbers/>
              <w:suppressAutoHyphens/>
              <w:rPr>
                <w:szCs w:val="21"/>
              </w:rPr>
            </w:pPr>
            <w:r>
              <w:rPr>
                <w:rFonts w:ascii="宋体" w:hAnsi="宋体"/>
                <w:szCs w:val="21"/>
              </w:rPr>
              <w:t>限期完成</w:t>
            </w:r>
          </w:p>
        </w:tc>
        <w:tc>
          <w:tcPr>
            <w:tcW w:w="2552" w:type="dxa"/>
            <w:tcBorders>
              <w:top w:val="single" w:color="auto" w:sz="4" w:space="0"/>
              <w:left w:val="single" w:color="auto" w:sz="4" w:space="0"/>
              <w:bottom w:val="single" w:color="auto" w:sz="4" w:space="0"/>
              <w:right w:val="single" w:color="auto" w:sz="4" w:space="0"/>
            </w:tcBorders>
            <w:vAlign w:val="center"/>
          </w:tcPr>
          <w:p w14:paraId="5D8A0D74">
            <w:pPr>
              <w:keepLines/>
              <w:suppressLineNumbers/>
              <w:suppressAutoHyphens/>
              <w:rPr>
                <w:szCs w:val="21"/>
              </w:rPr>
            </w:pPr>
            <w:r>
              <w:rPr>
                <w:rFonts w:hint="eastAsia"/>
                <w:szCs w:val="21"/>
              </w:rPr>
              <w:t>1</w:t>
            </w:r>
            <w:r>
              <w:rPr>
                <w:szCs w:val="21"/>
              </w:rPr>
              <w:t>000</w:t>
            </w:r>
            <w:r>
              <w:rPr>
                <w:rFonts w:ascii="宋体" w:hAnsi="宋体"/>
                <w:szCs w:val="21"/>
              </w:rPr>
              <w:t>元／次</w:t>
            </w:r>
          </w:p>
        </w:tc>
      </w:tr>
      <w:tr w14:paraId="03C42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2E5BEDAD">
            <w:pPr>
              <w:keepLines/>
              <w:suppressLineNumbers/>
              <w:suppressAutoHyphens/>
              <w:jc w:val="center"/>
              <w:rPr>
                <w:szCs w:val="21"/>
              </w:rPr>
            </w:pPr>
            <w:r>
              <w:rPr>
                <w:szCs w:val="21"/>
              </w:rPr>
              <w:t>4.2</w:t>
            </w:r>
          </w:p>
        </w:tc>
        <w:tc>
          <w:tcPr>
            <w:tcW w:w="3686" w:type="dxa"/>
            <w:tcBorders>
              <w:top w:val="single" w:color="auto" w:sz="4" w:space="0"/>
              <w:left w:val="single" w:color="auto" w:sz="4" w:space="0"/>
              <w:bottom w:val="single" w:color="auto" w:sz="4" w:space="0"/>
              <w:right w:val="single" w:color="auto" w:sz="4" w:space="0"/>
            </w:tcBorders>
            <w:vAlign w:val="center"/>
          </w:tcPr>
          <w:p w14:paraId="5E84FFF1">
            <w:pPr>
              <w:keepLines/>
              <w:suppressLineNumbers/>
              <w:suppressAutoHyphens/>
              <w:rPr>
                <w:szCs w:val="21"/>
              </w:rPr>
            </w:pPr>
            <w:r>
              <w:rPr>
                <w:rFonts w:ascii="宋体" w:hAnsi="宋体"/>
                <w:szCs w:val="21"/>
              </w:rPr>
              <w:t>未发现明显的图纸错误，造成返工</w:t>
            </w:r>
          </w:p>
        </w:tc>
        <w:tc>
          <w:tcPr>
            <w:tcW w:w="1559" w:type="dxa"/>
            <w:tcBorders>
              <w:top w:val="single" w:color="auto" w:sz="4" w:space="0"/>
              <w:left w:val="single" w:color="auto" w:sz="4" w:space="0"/>
              <w:bottom w:val="single" w:color="auto" w:sz="4" w:space="0"/>
              <w:right w:val="single" w:color="auto" w:sz="4" w:space="0"/>
            </w:tcBorders>
            <w:vAlign w:val="center"/>
          </w:tcPr>
          <w:p w14:paraId="69439E23">
            <w:pPr>
              <w:keepLines/>
              <w:suppressLineNumbers/>
              <w:suppressAutoHyphens/>
              <w:rPr>
                <w:szCs w:val="21"/>
              </w:rPr>
            </w:pPr>
            <w:r>
              <w:rPr>
                <w:rFonts w:hint="eastAsia" w:ascii="宋体" w:hAnsi="宋体"/>
                <w:szCs w:val="21"/>
              </w:rPr>
              <w:t>限期整改</w:t>
            </w:r>
          </w:p>
        </w:tc>
        <w:tc>
          <w:tcPr>
            <w:tcW w:w="2552" w:type="dxa"/>
            <w:tcBorders>
              <w:top w:val="single" w:color="auto" w:sz="4" w:space="0"/>
              <w:left w:val="single" w:color="auto" w:sz="4" w:space="0"/>
              <w:bottom w:val="single" w:color="auto" w:sz="4" w:space="0"/>
              <w:right w:val="single" w:color="auto" w:sz="4" w:space="0"/>
            </w:tcBorders>
            <w:vAlign w:val="center"/>
          </w:tcPr>
          <w:p w14:paraId="2CB58165">
            <w:pPr>
              <w:keepLines/>
              <w:suppressLineNumbers/>
              <w:suppressAutoHyphens/>
              <w:rPr>
                <w:szCs w:val="21"/>
              </w:rPr>
            </w:pPr>
            <w:r>
              <w:rPr>
                <w:rFonts w:hint="eastAsia"/>
                <w:szCs w:val="21"/>
              </w:rPr>
              <w:t>1</w:t>
            </w:r>
            <w:r>
              <w:rPr>
                <w:szCs w:val="21"/>
              </w:rPr>
              <w:t>000</w:t>
            </w:r>
            <w:r>
              <w:rPr>
                <w:rFonts w:ascii="宋体" w:hAnsi="宋体"/>
                <w:szCs w:val="21"/>
              </w:rPr>
              <w:t>元／次</w:t>
            </w:r>
          </w:p>
        </w:tc>
      </w:tr>
      <w:tr w14:paraId="2A821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5E3E96A9">
            <w:pPr>
              <w:keepLines/>
              <w:suppressLineNumbers/>
              <w:suppressAutoHyphens/>
              <w:jc w:val="center"/>
              <w:rPr>
                <w:szCs w:val="21"/>
              </w:rPr>
            </w:pPr>
            <w:r>
              <w:rPr>
                <w:szCs w:val="21"/>
              </w:rPr>
              <w:t>4.3</w:t>
            </w:r>
          </w:p>
        </w:tc>
        <w:tc>
          <w:tcPr>
            <w:tcW w:w="3686" w:type="dxa"/>
            <w:tcBorders>
              <w:top w:val="single" w:color="auto" w:sz="4" w:space="0"/>
              <w:left w:val="single" w:color="auto" w:sz="4" w:space="0"/>
              <w:bottom w:val="single" w:color="auto" w:sz="4" w:space="0"/>
              <w:right w:val="single" w:color="auto" w:sz="4" w:space="0"/>
            </w:tcBorders>
            <w:vAlign w:val="center"/>
          </w:tcPr>
          <w:p w14:paraId="3A51B46D">
            <w:pPr>
              <w:keepLines/>
              <w:suppressLineNumbers/>
              <w:suppressAutoHyphens/>
              <w:rPr>
                <w:szCs w:val="21"/>
              </w:rPr>
            </w:pPr>
            <w:r>
              <w:rPr>
                <w:rFonts w:ascii="宋体" w:hAnsi="宋体"/>
                <w:szCs w:val="21"/>
              </w:rPr>
              <w:t>技术交底针对性不强，造成施工错误</w:t>
            </w:r>
          </w:p>
        </w:tc>
        <w:tc>
          <w:tcPr>
            <w:tcW w:w="1559" w:type="dxa"/>
            <w:tcBorders>
              <w:top w:val="single" w:color="auto" w:sz="4" w:space="0"/>
              <w:left w:val="single" w:color="auto" w:sz="4" w:space="0"/>
              <w:bottom w:val="single" w:color="auto" w:sz="4" w:space="0"/>
              <w:right w:val="single" w:color="auto" w:sz="4" w:space="0"/>
            </w:tcBorders>
            <w:vAlign w:val="center"/>
          </w:tcPr>
          <w:p w14:paraId="4EC2C4A5">
            <w:pPr>
              <w:keepLines/>
              <w:suppressLineNumbers/>
              <w:suppressAutoHyphens/>
              <w:rPr>
                <w:szCs w:val="21"/>
              </w:rPr>
            </w:pPr>
            <w:r>
              <w:rPr>
                <w:rFonts w:ascii="宋体" w:hAnsi="宋体"/>
                <w:szCs w:val="21"/>
              </w:rPr>
              <w:t>返工</w:t>
            </w:r>
          </w:p>
        </w:tc>
        <w:tc>
          <w:tcPr>
            <w:tcW w:w="2552" w:type="dxa"/>
            <w:tcBorders>
              <w:top w:val="single" w:color="auto" w:sz="4" w:space="0"/>
              <w:left w:val="single" w:color="auto" w:sz="4" w:space="0"/>
              <w:bottom w:val="single" w:color="auto" w:sz="4" w:space="0"/>
              <w:right w:val="single" w:color="auto" w:sz="4" w:space="0"/>
            </w:tcBorders>
            <w:vAlign w:val="center"/>
          </w:tcPr>
          <w:p w14:paraId="70D854C9">
            <w:pPr>
              <w:keepLines/>
              <w:suppressLineNumbers/>
              <w:suppressAutoHyphens/>
              <w:rPr>
                <w:szCs w:val="21"/>
              </w:rPr>
            </w:pPr>
            <w:r>
              <w:rPr>
                <w:rFonts w:hint="eastAsia"/>
                <w:szCs w:val="21"/>
              </w:rPr>
              <w:t>1</w:t>
            </w:r>
            <w:r>
              <w:rPr>
                <w:szCs w:val="21"/>
              </w:rPr>
              <w:t>000</w:t>
            </w:r>
            <w:r>
              <w:rPr>
                <w:rFonts w:ascii="宋体" w:hAnsi="宋体"/>
                <w:szCs w:val="21"/>
              </w:rPr>
              <w:t>元／次</w:t>
            </w:r>
          </w:p>
        </w:tc>
      </w:tr>
      <w:tr w14:paraId="42FE6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67CEC9E7">
            <w:pPr>
              <w:keepLines/>
              <w:suppressLineNumbers/>
              <w:suppressAutoHyphens/>
              <w:jc w:val="center"/>
              <w:rPr>
                <w:szCs w:val="21"/>
              </w:rPr>
            </w:pPr>
            <w:r>
              <w:rPr>
                <w:szCs w:val="21"/>
              </w:rPr>
              <w:t>4.4</w:t>
            </w:r>
          </w:p>
        </w:tc>
        <w:tc>
          <w:tcPr>
            <w:tcW w:w="3686" w:type="dxa"/>
            <w:tcBorders>
              <w:top w:val="single" w:color="auto" w:sz="4" w:space="0"/>
              <w:left w:val="single" w:color="auto" w:sz="4" w:space="0"/>
              <w:bottom w:val="single" w:color="auto" w:sz="4" w:space="0"/>
              <w:right w:val="single" w:color="auto" w:sz="4" w:space="0"/>
            </w:tcBorders>
            <w:vAlign w:val="center"/>
          </w:tcPr>
          <w:p w14:paraId="0C6F15DD">
            <w:pPr>
              <w:keepLines/>
              <w:suppressLineNumbers/>
              <w:suppressAutoHyphens/>
              <w:rPr>
                <w:szCs w:val="21"/>
              </w:rPr>
            </w:pPr>
            <w:r>
              <w:rPr>
                <w:rFonts w:ascii="宋体" w:hAnsi="宋体"/>
                <w:szCs w:val="21"/>
              </w:rPr>
              <w:t>未按深化设计计划完成深化设计图纸及报批工作，影响工程正常进行</w:t>
            </w:r>
          </w:p>
        </w:tc>
        <w:tc>
          <w:tcPr>
            <w:tcW w:w="1559" w:type="dxa"/>
            <w:tcBorders>
              <w:top w:val="single" w:color="auto" w:sz="4" w:space="0"/>
              <w:left w:val="single" w:color="auto" w:sz="4" w:space="0"/>
              <w:bottom w:val="single" w:color="auto" w:sz="4" w:space="0"/>
              <w:right w:val="single" w:color="auto" w:sz="4" w:space="0"/>
            </w:tcBorders>
            <w:vAlign w:val="center"/>
          </w:tcPr>
          <w:p w14:paraId="250AA58E">
            <w:pPr>
              <w:keepLines/>
              <w:suppressLineNumbers/>
              <w:suppressAutoHyphens/>
              <w:rPr>
                <w:szCs w:val="21"/>
              </w:rPr>
            </w:pPr>
            <w:r>
              <w:rPr>
                <w:rFonts w:ascii="宋体" w:hAnsi="宋体"/>
                <w:szCs w:val="21"/>
              </w:rPr>
              <w:t>限期完成</w:t>
            </w:r>
          </w:p>
          <w:p w14:paraId="035B9A08">
            <w:pPr>
              <w:keepLines/>
              <w:suppressLineNumbers/>
              <w:suppressAutoHyphens/>
              <w:rPr>
                <w:szCs w:val="21"/>
              </w:rPr>
            </w:pPr>
            <w:r>
              <w:rPr>
                <w:rFonts w:ascii="宋体" w:hAnsi="宋体"/>
                <w:szCs w:val="21"/>
              </w:rPr>
              <w:t>相应施工暂停</w:t>
            </w:r>
          </w:p>
        </w:tc>
        <w:tc>
          <w:tcPr>
            <w:tcW w:w="2552" w:type="dxa"/>
            <w:tcBorders>
              <w:top w:val="single" w:color="auto" w:sz="4" w:space="0"/>
              <w:left w:val="single" w:color="auto" w:sz="4" w:space="0"/>
              <w:bottom w:val="single" w:color="auto" w:sz="4" w:space="0"/>
              <w:right w:val="single" w:color="auto" w:sz="4" w:space="0"/>
            </w:tcBorders>
            <w:vAlign w:val="center"/>
          </w:tcPr>
          <w:p w14:paraId="31057EC8">
            <w:pPr>
              <w:keepLines/>
              <w:suppressLineNumbers/>
              <w:suppressAutoHyphens/>
              <w:rPr>
                <w:szCs w:val="21"/>
              </w:rPr>
            </w:pPr>
            <w:r>
              <w:rPr>
                <w:rFonts w:hint="eastAsia"/>
                <w:szCs w:val="21"/>
              </w:rPr>
              <w:t>1</w:t>
            </w:r>
            <w:r>
              <w:rPr>
                <w:szCs w:val="21"/>
              </w:rPr>
              <w:t>000</w:t>
            </w:r>
            <w:r>
              <w:rPr>
                <w:rFonts w:ascii="宋体" w:hAnsi="宋体"/>
                <w:szCs w:val="21"/>
              </w:rPr>
              <w:t>元／次</w:t>
            </w:r>
          </w:p>
        </w:tc>
      </w:tr>
      <w:tr w14:paraId="73356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6439AF60">
            <w:pPr>
              <w:keepLines/>
              <w:suppressLineNumbers/>
              <w:suppressAutoHyphens/>
              <w:jc w:val="center"/>
              <w:rPr>
                <w:szCs w:val="21"/>
              </w:rPr>
            </w:pPr>
            <w:r>
              <w:rPr>
                <w:szCs w:val="21"/>
              </w:rPr>
              <w:t>4.5</w:t>
            </w:r>
          </w:p>
        </w:tc>
        <w:tc>
          <w:tcPr>
            <w:tcW w:w="3686" w:type="dxa"/>
            <w:tcBorders>
              <w:top w:val="single" w:color="auto" w:sz="4" w:space="0"/>
              <w:left w:val="single" w:color="auto" w:sz="4" w:space="0"/>
              <w:bottom w:val="single" w:color="auto" w:sz="4" w:space="0"/>
              <w:right w:val="single" w:color="auto" w:sz="4" w:space="0"/>
            </w:tcBorders>
            <w:vAlign w:val="center"/>
          </w:tcPr>
          <w:p w14:paraId="7CF4878D">
            <w:pPr>
              <w:keepLines/>
              <w:suppressLineNumbers/>
              <w:suppressAutoHyphens/>
              <w:rPr>
                <w:szCs w:val="21"/>
              </w:rPr>
            </w:pPr>
            <w:r>
              <w:rPr>
                <w:rFonts w:ascii="宋体" w:hAnsi="宋体"/>
                <w:szCs w:val="21"/>
              </w:rPr>
              <w:t>深化设计图纸未考虑各专业交圈问题，造成施工错误</w:t>
            </w:r>
          </w:p>
        </w:tc>
        <w:tc>
          <w:tcPr>
            <w:tcW w:w="1559" w:type="dxa"/>
            <w:tcBorders>
              <w:top w:val="single" w:color="auto" w:sz="4" w:space="0"/>
              <w:left w:val="single" w:color="auto" w:sz="4" w:space="0"/>
              <w:bottom w:val="single" w:color="auto" w:sz="4" w:space="0"/>
              <w:right w:val="single" w:color="auto" w:sz="4" w:space="0"/>
            </w:tcBorders>
            <w:vAlign w:val="center"/>
          </w:tcPr>
          <w:p w14:paraId="5442F983">
            <w:pPr>
              <w:keepLines/>
              <w:suppressLineNumbers/>
              <w:suppressAutoHyphens/>
              <w:rPr>
                <w:szCs w:val="21"/>
              </w:rPr>
            </w:pPr>
            <w:r>
              <w:rPr>
                <w:rFonts w:ascii="宋体" w:hAnsi="宋体"/>
                <w:szCs w:val="21"/>
              </w:rPr>
              <w:t>返工</w:t>
            </w:r>
          </w:p>
        </w:tc>
        <w:tc>
          <w:tcPr>
            <w:tcW w:w="2552" w:type="dxa"/>
            <w:tcBorders>
              <w:top w:val="single" w:color="auto" w:sz="4" w:space="0"/>
              <w:left w:val="single" w:color="auto" w:sz="4" w:space="0"/>
              <w:bottom w:val="single" w:color="auto" w:sz="4" w:space="0"/>
              <w:right w:val="single" w:color="auto" w:sz="4" w:space="0"/>
            </w:tcBorders>
            <w:vAlign w:val="center"/>
          </w:tcPr>
          <w:p w14:paraId="6B8F8F52">
            <w:pPr>
              <w:keepLines/>
              <w:suppressLineNumbers/>
              <w:suppressAutoHyphens/>
              <w:rPr>
                <w:szCs w:val="21"/>
              </w:rPr>
            </w:pPr>
            <w:r>
              <w:rPr>
                <w:rFonts w:hint="eastAsia"/>
                <w:szCs w:val="21"/>
              </w:rPr>
              <w:t>1</w:t>
            </w:r>
            <w:r>
              <w:rPr>
                <w:szCs w:val="21"/>
              </w:rPr>
              <w:t>000</w:t>
            </w:r>
            <w:r>
              <w:rPr>
                <w:rFonts w:ascii="宋体" w:hAnsi="宋体"/>
                <w:szCs w:val="21"/>
              </w:rPr>
              <w:t>元／次</w:t>
            </w:r>
          </w:p>
        </w:tc>
      </w:tr>
      <w:tr w14:paraId="69219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295C9E98">
            <w:pPr>
              <w:keepLines/>
              <w:suppressLineNumbers/>
              <w:suppressAutoHyphens/>
              <w:jc w:val="center"/>
              <w:rPr>
                <w:b/>
                <w:szCs w:val="21"/>
              </w:rPr>
            </w:pPr>
            <w:r>
              <w:rPr>
                <w:b/>
                <w:szCs w:val="21"/>
              </w:rPr>
              <w:t>5</w:t>
            </w:r>
          </w:p>
        </w:tc>
        <w:tc>
          <w:tcPr>
            <w:tcW w:w="7797" w:type="dxa"/>
            <w:gridSpan w:val="3"/>
            <w:tcBorders>
              <w:top w:val="single" w:color="auto" w:sz="4" w:space="0"/>
              <w:left w:val="single" w:color="auto" w:sz="4" w:space="0"/>
              <w:bottom w:val="single" w:color="auto" w:sz="4" w:space="0"/>
              <w:right w:val="single" w:color="auto" w:sz="4" w:space="0"/>
            </w:tcBorders>
            <w:vAlign w:val="center"/>
          </w:tcPr>
          <w:p w14:paraId="77D5DDA4">
            <w:pPr>
              <w:keepLines/>
              <w:suppressLineNumbers/>
              <w:suppressAutoHyphens/>
              <w:rPr>
                <w:b/>
                <w:szCs w:val="21"/>
              </w:rPr>
            </w:pPr>
            <w:r>
              <w:rPr>
                <w:rFonts w:ascii="宋体" w:hAnsi="宋体"/>
                <w:b/>
                <w:bCs/>
                <w:szCs w:val="21"/>
              </w:rPr>
              <w:t>规章制度、会议决议执行情况</w:t>
            </w:r>
          </w:p>
        </w:tc>
      </w:tr>
      <w:tr w14:paraId="25539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25095023">
            <w:pPr>
              <w:keepLines/>
              <w:suppressLineNumbers/>
              <w:suppressAutoHyphens/>
              <w:jc w:val="center"/>
              <w:rPr>
                <w:szCs w:val="21"/>
              </w:rPr>
            </w:pPr>
            <w:r>
              <w:rPr>
                <w:szCs w:val="21"/>
              </w:rPr>
              <w:t>5.1</w:t>
            </w:r>
          </w:p>
        </w:tc>
        <w:tc>
          <w:tcPr>
            <w:tcW w:w="3686" w:type="dxa"/>
            <w:tcBorders>
              <w:top w:val="single" w:color="auto" w:sz="4" w:space="0"/>
              <w:left w:val="single" w:color="auto" w:sz="4" w:space="0"/>
              <w:bottom w:val="single" w:color="auto" w:sz="4" w:space="0"/>
              <w:right w:val="single" w:color="auto" w:sz="4" w:space="0"/>
            </w:tcBorders>
            <w:vAlign w:val="center"/>
          </w:tcPr>
          <w:p w14:paraId="5E6BD9DC">
            <w:pPr>
              <w:keepLines/>
              <w:suppressLineNumbers/>
              <w:suppressAutoHyphens/>
              <w:rPr>
                <w:szCs w:val="21"/>
              </w:rPr>
            </w:pPr>
            <w:r>
              <w:rPr>
                <w:rFonts w:ascii="宋体" w:hAnsi="宋体"/>
                <w:szCs w:val="21"/>
              </w:rPr>
              <w:t>未经发包人／监理工程师认可私自更换项目经理及主要管理人员</w:t>
            </w:r>
          </w:p>
        </w:tc>
        <w:tc>
          <w:tcPr>
            <w:tcW w:w="1559" w:type="dxa"/>
            <w:tcBorders>
              <w:top w:val="single" w:color="auto" w:sz="4" w:space="0"/>
              <w:left w:val="single" w:color="auto" w:sz="4" w:space="0"/>
              <w:bottom w:val="single" w:color="auto" w:sz="4" w:space="0"/>
              <w:right w:val="single" w:color="auto" w:sz="4" w:space="0"/>
            </w:tcBorders>
            <w:vAlign w:val="center"/>
          </w:tcPr>
          <w:p w14:paraId="0B2C54B1">
            <w:pPr>
              <w:keepLines/>
              <w:suppressLineNumbers/>
              <w:suppressAutoHyphens/>
              <w:rPr>
                <w:szCs w:val="21"/>
              </w:rPr>
            </w:pPr>
            <w:r>
              <w:rPr>
                <w:rFonts w:ascii="宋体" w:hAnsi="宋体"/>
                <w:szCs w:val="21"/>
              </w:rPr>
              <w:t>换回原管理人员</w:t>
            </w:r>
          </w:p>
        </w:tc>
        <w:tc>
          <w:tcPr>
            <w:tcW w:w="2552" w:type="dxa"/>
            <w:tcBorders>
              <w:top w:val="single" w:color="auto" w:sz="4" w:space="0"/>
              <w:left w:val="single" w:color="auto" w:sz="4" w:space="0"/>
              <w:bottom w:val="single" w:color="auto" w:sz="4" w:space="0"/>
              <w:right w:val="single" w:color="auto" w:sz="4" w:space="0"/>
            </w:tcBorders>
            <w:vAlign w:val="center"/>
          </w:tcPr>
          <w:p w14:paraId="22CE2EDD">
            <w:pPr>
              <w:keepLines/>
              <w:suppressLineNumbers/>
              <w:suppressAutoHyphens/>
              <w:rPr>
                <w:szCs w:val="21"/>
              </w:rPr>
            </w:pPr>
            <w:r>
              <w:rPr>
                <w:rFonts w:hint="eastAsia"/>
                <w:szCs w:val="21"/>
              </w:rPr>
              <w:t>1</w:t>
            </w:r>
            <w:r>
              <w:rPr>
                <w:szCs w:val="21"/>
              </w:rPr>
              <w:t>000</w:t>
            </w:r>
            <w:r>
              <w:rPr>
                <w:rFonts w:ascii="宋体" w:hAnsi="宋体"/>
                <w:szCs w:val="21"/>
              </w:rPr>
              <w:t>元／次</w:t>
            </w:r>
          </w:p>
        </w:tc>
      </w:tr>
      <w:tr w14:paraId="34A03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5C5C870A">
            <w:pPr>
              <w:keepLines/>
              <w:suppressLineNumbers/>
              <w:suppressAutoHyphens/>
              <w:jc w:val="center"/>
              <w:rPr>
                <w:szCs w:val="21"/>
              </w:rPr>
            </w:pPr>
            <w:r>
              <w:rPr>
                <w:szCs w:val="21"/>
              </w:rPr>
              <w:t>5.2</w:t>
            </w:r>
          </w:p>
        </w:tc>
        <w:tc>
          <w:tcPr>
            <w:tcW w:w="3686" w:type="dxa"/>
            <w:tcBorders>
              <w:top w:val="single" w:color="auto" w:sz="4" w:space="0"/>
              <w:left w:val="single" w:color="auto" w:sz="4" w:space="0"/>
              <w:bottom w:val="single" w:color="auto" w:sz="4" w:space="0"/>
              <w:right w:val="single" w:color="auto" w:sz="4" w:space="0"/>
            </w:tcBorders>
            <w:vAlign w:val="center"/>
          </w:tcPr>
          <w:p w14:paraId="4B9C3FCF">
            <w:pPr>
              <w:keepLines/>
              <w:suppressLineNumbers/>
              <w:suppressAutoHyphens/>
              <w:rPr>
                <w:szCs w:val="21"/>
              </w:rPr>
            </w:pPr>
            <w:r>
              <w:rPr>
                <w:rFonts w:ascii="宋体" w:hAnsi="宋体"/>
                <w:szCs w:val="21"/>
              </w:rPr>
              <w:t>项目经理</w:t>
            </w:r>
            <w:r>
              <w:rPr>
                <w:rFonts w:hint="eastAsia" w:ascii="宋体" w:hAnsi="宋体"/>
                <w:szCs w:val="21"/>
              </w:rPr>
              <w:t>及</w:t>
            </w:r>
            <w:r>
              <w:rPr>
                <w:rFonts w:ascii="宋体" w:hAnsi="宋体"/>
                <w:szCs w:val="21"/>
              </w:rPr>
              <w:t>主要</w:t>
            </w:r>
            <w:r>
              <w:rPr>
                <w:rFonts w:hint="eastAsia" w:ascii="宋体" w:hAnsi="宋体"/>
                <w:szCs w:val="21"/>
              </w:rPr>
              <w:t>项目管理班子成</w:t>
            </w:r>
            <w:r>
              <w:rPr>
                <w:rFonts w:ascii="宋体" w:hAnsi="宋体"/>
                <w:szCs w:val="21"/>
              </w:rPr>
              <w:t>员无故不在现场</w:t>
            </w:r>
          </w:p>
        </w:tc>
        <w:tc>
          <w:tcPr>
            <w:tcW w:w="1559" w:type="dxa"/>
            <w:tcBorders>
              <w:top w:val="single" w:color="auto" w:sz="4" w:space="0"/>
              <w:left w:val="single" w:color="auto" w:sz="4" w:space="0"/>
              <w:bottom w:val="single" w:color="auto" w:sz="4" w:space="0"/>
              <w:right w:val="single" w:color="auto" w:sz="4" w:space="0"/>
            </w:tcBorders>
            <w:vAlign w:val="center"/>
          </w:tcPr>
          <w:p w14:paraId="378282AB">
            <w:pPr>
              <w:keepLines/>
              <w:suppressLineNumbers/>
              <w:suppressAutoHyphens/>
              <w:rPr>
                <w:szCs w:val="21"/>
              </w:rPr>
            </w:pPr>
            <w:r>
              <w:rPr>
                <w:rFonts w:hint="eastAsia" w:ascii="宋体" w:hAnsi="宋体"/>
                <w:szCs w:val="21"/>
              </w:rPr>
              <w:t>限期到位</w:t>
            </w:r>
          </w:p>
        </w:tc>
        <w:tc>
          <w:tcPr>
            <w:tcW w:w="2552" w:type="dxa"/>
            <w:tcBorders>
              <w:top w:val="single" w:color="auto" w:sz="4" w:space="0"/>
              <w:left w:val="single" w:color="auto" w:sz="4" w:space="0"/>
              <w:bottom w:val="single" w:color="auto" w:sz="4" w:space="0"/>
              <w:right w:val="single" w:color="auto" w:sz="4" w:space="0"/>
            </w:tcBorders>
            <w:vAlign w:val="center"/>
          </w:tcPr>
          <w:p w14:paraId="5934ED89">
            <w:pPr>
              <w:keepLines/>
              <w:suppressLineNumbers/>
              <w:suppressAutoHyphens/>
              <w:rPr>
                <w:szCs w:val="21"/>
              </w:rPr>
            </w:pPr>
            <w:r>
              <w:rPr>
                <w:rFonts w:hint="eastAsia"/>
                <w:szCs w:val="21"/>
              </w:rPr>
              <w:t>1</w:t>
            </w:r>
            <w:r>
              <w:rPr>
                <w:szCs w:val="21"/>
              </w:rPr>
              <w:t>000</w:t>
            </w:r>
            <w:r>
              <w:rPr>
                <w:rFonts w:ascii="宋体" w:hAnsi="宋体"/>
                <w:szCs w:val="21"/>
              </w:rPr>
              <w:t>元／人</w:t>
            </w:r>
            <w:r>
              <w:rPr>
                <w:szCs w:val="21"/>
              </w:rPr>
              <w:t>·</w:t>
            </w:r>
            <w:r>
              <w:rPr>
                <w:rFonts w:ascii="宋体" w:hAnsi="宋体"/>
                <w:szCs w:val="21"/>
              </w:rPr>
              <w:t>天</w:t>
            </w:r>
          </w:p>
        </w:tc>
      </w:tr>
      <w:tr w14:paraId="155DA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4F7D6228">
            <w:pPr>
              <w:keepLines/>
              <w:suppressLineNumbers/>
              <w:suppressAutoHyphens/>
              <w:jc w:val="center"/>
              <w:rPr>
                <w:szCs w:val="21"/>
              </w:rPr>
            </w:pPr>
            <w:r>
              <w:rPr>
                <w:szCs w:val="21"/>
              </w:rPr>
              <w:t>5.3</w:t>
            </w:r>
          </w:p>
        </w:tc>
        <w:tc>
          <w:tcPr>
            <w:tcW w:w="3686" w:type="dxa"/>
            <w:tcBorders>
              <w:top w:val="single" w:color="auto" w:sz="4" w:space="0"/>
              <w:left w:val="single" w:color="auto" w:sz="4" w:space="0"/>
              <w:bottom w:val="single" w:color="auto" w:sz="4" w:space="0"/>
              <w:right w:val="single" w:color="auto" w:sz="4" w:space="0"/>
            </w:tcBorders>
            <w:vAlign w:val="center"/>
          </w:tcPr>
          <w:p w14:paraId="612CC4CC">
            <w:pPr>
              <w:keepLines/>
              <w:suppressLineNumbers/>
              <w:suppressAutoHyphens/>
              <w:rPr>
                <w:szCs w:val="21"/>
              </w:rPr>
            </w:pPr>
            <w:r>
              <w:rPr>
                <w:rFonts w:ascii="宋体" w:hAnsi="宋体"/>
                <w:szCs w:val="21"/>
              </w:rPr>
              <w:t>工程管理人员不及时到位</w:t>
            </w:r>
          </w:p>
        </w:tc>
        <w:tc>
          <w:tcPr>
            <w:tcW w:w="1559" w:type="dxa"/>
            <w:tcBorders>
              <w:top w:val="single" w:color="auto" w:sz="4" w:space="0"/>
              <w:left w:val="single" w:color="auto" w:sz="4" w:space="0"/>
              <w:bottom w:val="single" w:color="auto" w:sz="4" w:space="0"/>
              <w:right w:val="single" w:color="auto" w:sz="4" w:space="0"/>
            </w:tcBorders>
            <w:vAlign w:val="center"/>
          </w:tcPr>
          <w:p w14:paraId="66CCABC1">
            <w:pPr>
              <w:keepLines/>
              <w:suppressLineNumbers/>
              <w:suppressAutoHyphens/>
              <w:rPr>
                <w:szCs w:val="21"/>
              </w:rPr>
            </w:pPr>
            <w:r>
              <w:rPr>
                <w:rFonts w:ascii="宋体" w:hAnsi="宋体"/>
                <w:szCs w:val="21"/>
              </w:rPr>
              <w:t>限期到位</w:t>
            </w:r>
          </w:p>
        </w:tc>
        <w:tc>
          <w:tcPr>
            <w:tcW w:w="2552" w:type="dxa"/>
            <w:tcBorders>
              <w:top w:val="single" w:color="auto" w:sz="4" w:space="0"/>
              <w:left w:val="single" w:color="auto" w:sz="4" w:space="0"/>
              <w:bottom w:val="single" w:color="auto" w:sz="4" w:space="0"/>
              <w:right w:val="single" w:color="auto" w:sz="4" w:space="0"/>
            </w:tcBorders>
            <w:vAlign w:val="center"/>
          </w:tcPr>
          <w:p w14:paraId="74BFC4C3">
            <w:pPr>
              <w:keepLines/>
              <w:suppressLineNumbers/>
              <w:suppressAutoHyphens/>
              <w:rPr>
                <w:szCs w:val="21"/>
              </w:rPr>
            </w:pPr>
            <w:r>
              <w:rPr>
                <w:rFonts w:hint="eastAsia"/>
                <w:szCs w:val="21"/>
              </w:rPr>
              <w:t>10</w:t>
            </w:r>
            <w:r>
              <w:rPr>
                <w:szCs w:val="21"/>
              </w:rPr>
              <w:t>00</w:t>
            </w:r>
            <w:r>
              <w:rPr>
                <w:rFonts w:ascii="宋体" w:hAnsi="宋体"/>
                <w:szCs w:val="21"/>
              </w:rPr>
              <w:t>元／人</w:t>
            </w:r>
            <w:r>
              <w:rPr>
                <w:szCs w:val="21"/>
              </w:rPr>
              <w:t>·</w:t>
            </w:r>
            <w:r>
              <w:rPr>
                <w:rFonts w:ascii="宋体" w:hAnsi="宋体"/>
                <w:szCs w:val="21"/>
              </w:rPr>
              <w:t>天</w:t>
            </w:r>
          </w:p>
        </w:tc>
      </w:tr>
      <w:tr w14:paraId="59F84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007B42BE">
            <w:pPr>
              <w:keepLines/>
              <w:suppressLineNumbers/>
              <w:suppressAutoHyphens/>
              <w:jc w:val="center"/>
              <w:rPr>
                <w:szCs w:val="21"/>
              </w:rPr>
            </w:pPr>
            <w:r>
              <w:rPr>
                <w:szCs w:val="21"/>
              </w:rPr>
              <w:t>5.4</w:t>
            </w:r>
          </w:p>
        </w:tc>
        <w:tc>
          <w:tcPr>
            <w:tcW w:w="3686" w:type="dxa"/>
            <w:tcBorders>
              <w:top w:val="single" w:color="auto" w:sz="4" w:space="0"/>
              <w:left w:val="single" w:color="auto" w:sz="4" w:space="0"/>
              <w:bottom w:val="single" w:color="auto" w:sz="4" w:space="0"/>
              <w:right w:val="single" w:color="auto" w:sz="4" w:space="0"/>
            </w:tcBorders>
            <w:vAlign w:val="center"/>
          </w:tcPr>
          <w:p w14:paraId="78ACFE74">
            <w:pPr>
              <w:keepLines/>
              <w:suppressLineNumbers/>
              <w:suppressAutoHyphens/>
              <w:rPr>
                <w:szCs w:val="21"/>
              </w:rPr>
            </w:pPr>
            <w:r>
              <w:rPr>
                <w:rFonts w:ascii="宋体" w:hAnsi="宋体"/>
                <w:szCs w:val="21"/>
              </w:rPr>
              <w:t>违反现场各种规章制度</w:t>
            </w:r>
          </w:p>
        </w:tc>
        <w:tc>
          <w:tcPr>
            <w:tcW w:w="1559" w:type="dxa"/>
            <w:tcBorders>
              <w:top w:val="single" w:color="auto" w:sz="4" w:space="0"/>
              <w:left w:val="single" w:color="auto" w:sz="4" w:space="0"/>
              <w:bottom w:val="single" w:color="auto" w:sz="4" w:space="0"/>
              <w:right w:val="single" w:color="auto" w:sz="4" w:space="0"/>
            </w:tcBorders>
            <w:vAlign w:val="center"/>
          </w:tcPr>
          <w:p w14:paraId="4616027F">
            <w:pPr>
              <w:keepLines/>
              <w:suppressLineNumbers/>
              <w:suppressAutoHyphens/>
              <w:rPr>
                <w:szCs w:val="21"/>
              </w:rPr>
            </w:pPr>
            <w:r>
              <w:rPr>
                <w:rFonts w:hint="eastAsia" w:ascii="宋体" w:hAnsi="宋体"/>
                <w:szCs w:val="21"/>
              </w:rPr>
              <w:t>现场教育</w:t>
            </w:r>
          </w:p>
        </w:tc>
        <w:tc>
          <w:tcPr>
            <w:tcW w:w="2552" w:type="dxa"/>
            <w:tcBorders>
              <w:top w:val="single" w:color="auto" w:sz="4" w:space="0"/>
              <w:left w:val="single" w:color="auto" w:sz="4" w:space="0"/>
              <w:bottom w:val="single" w:color="auto" w:sz="4" w:space="0"/>
              <w:right w:val="single" w:color="auto" w:sz="4" w:space="0"/>
            </w:tcBorders>
            <w:vAlign w:val="center"/>
          </w:tcPr>
          <w:p w14:paraId="13FA9AFE">
            <w:pPr>
              <w:keepLines/>
              <w:suppressLineNumbers/>
              <w:suppressAutoHyphens/>
              <w:rPr>
                <w:szCs w:val="21"/>
              </w:rPr>
            </w:pPr>
            <w:r>
              <w:rPr>
                <w:szCs w:val="21"/>
              </w:rPr>
              <w:t>1000</w:t>
            </w:r>
            <w:r>
              <w:rPr>
                <w:rFonts w:ascii="宋体" w:hAnsi="宋体"/>
                <w:szCs w:val="21"/>
              </w:rPr>
              <w:t>元／</w:t>
            </w:r>
            <w:r>
              <w:rPr>
                <w:rFonts w:hint="eastAsia" w:ascii="宋体" w:hAnsi="宋体"/>
                <w:szCs w:val="21"/>
              </w:rPr>
              <w:t>人</w:t>
            </w:r>
            <w:r>
              <w:rPr>
                <w:szCs w:val="21"/>
              </w:rPr>
              <w:t>·</w:t>
            </w:r>
            <w:r>
              <w:rPr>
                <w:rFonts w:ascii="宋体" w:hAnsi="宋体"/>
                <w:szCs w:val="21"/>
              </w:rPr>
              <w:t>次</w:t>
            </w:r>
          </w:p>
        </w:tc>
      </w:tr>
      <w:tr w14:paraId="6C6E6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65FEAA84">
            <w:pPr>
              <w:keepLines/>
              <w:suppressLineNumbers/>
              <w:suppressAutoHyphens/>
              <w:jc w:val="center"/>
              <w:rPr>
                <w:szCs w:val="21"/>
              </w:rPr>
            </w:pPr>
            <w:r>
              <w:rPr>
                <w:szCs w:val="21"/>
              </w:rPr>
              <w:t>5.5</w:t>
            </w:r>
          </w:p>
        </w:tc>
        <w:tc>
          <w:tcPr>
            <w:tcW w:w="3686" w:type="dxa"/>
            <w:tcBorders>
              <w:top w:val="single" w:color="auto" w:sz="4" w:space="0"/>
              <w:left w:val="single" w:color="auto" w:sz="4" w:space="0"/>
              <w:bottom w:val="single" w:color="auto" w:sz="4" w:space="0"/>
              <w:right w:val="single" w:color="auto" w:sz="4" w:space="0"/>
            </w:tcBorders>
            <w:vAlign w:val="center"/>
          </w:tcPr>
          <w:p w14:paraId="085D2534">
            <w:pPr>
              <w:keepLines/>
              <w:suppressLineNumbers/>
              <w:suppressAutoHyphens/>
              <w:rPr>
                <w:szCs w:val="21"/>
              </w:rPr>
            </w:pPr>
            <w:r>
              <w:rPr>
                <w:rFonts w:ascii="宋体" w:hAnsi="宋体"/>
                <w:szCs w:val="21"/>
              </w:rPr>
              <w:t>会议（含现场检查）无故迟到</w:t>
            </w:r>
          </w:p>
        </w:tc>
        <w:tc>
          <w:tcPr>
            <w:tcW w:w="1559" w:type="dxa"/>
            <w:tcBorders>
              <w:top w:val="single" w:color="auto" w:sz="4" w:space="0"/>
              <w:left w:val="single" w:color="auto" w:sz="4" w:space="0"/>
              <w:bottom w:val="single" w:color="auto" w:sz="4" w:space="0"/>
              <w:right w:val="single" w:color="auto" w:sz="4" w:space="0"/>
            </w:tcBorders>
            <w:vAlign w:val="center"/>
          </w:tcPr>
          <w:p w14:paraId="0C5730CE">
            <w:pPr>
              <w:keepLines/>
              <w:suppressLineNumbers/>
              <w:suppressAutoHyphens/>
              <w:rPr>
                <w:szCs w:val="21"/>
              </w:rPr>
            </w:pPr>
            <w:r>
              <w:rPr>
                <w:rFonts w:hint="eastAsia" w:ascii="宋体" w:hAnsi="宋体"/>
                <w:szCs w:val="21"/>
              </w:rPr>
              <w:t>批评教育</w:t>
            </w:r>
          </w:p>
        </w:tc>
        <w:tc>
          <w:tcPr>
            <w:tcW w:w="2552" w:type="dxa"/>
            <w:tcBorders>
              <w:top w:val="single" w:color="auto" w:sz="4" w:space="0"/>
              <w:left w:val="single" w:color="auto" w:sz="4" w:space="0"/>
              <w:bottom w:val="single" w:color="auto" w:sz="4" w:space="0"/>
              <w:right w:val="single" w:color="auto" w:sz="4" w:space="0"/>
            </w:tcBorders>
            <w:vAlign w:val="center"/>
          </w:tcPr>
          <w:p w14:paraId="07F689AB">
            <w:pPr>
              <w:keepLines/>
              <w:suppressLineNumbers/>
              <w:suppressAutoHyphens/>
              <w:rPr>
                <w:szCs w:val="21"/>
              </w:rPr>
            </w:pPr>
            <w:r>
              <w:rPr>
                <w:rFonts w:hint="eastAsia"/>
                <w:szCs w:val="21"/>
              </w:rPr>
              <w:t>5</w:t>
            </w:r>
            <w:r>
              <w:rPr>
                <w:szCs w:val="21"/>
              </w:rPr>
              <w:t>00</w:t>
            </w:r>
            <w:r>
              <w:rPr>
                <w:rFonts w:ascii="宋体" w:hAnsi="宋体"/>
                <w:szCs w:val="21"/>
              </w:rPr>
              <w:t>元／人</w:t>
            </w:r>
            <w:r>
              <w:rPr>
                <w:szCs w:val="21"/>
              </w:rPr>
              <w:t>·</w:t>
            </w:r>
            <w:r>
              <w:rPr>
                <w:rFonts w:ascii="宋体" w:hAnsi="宋体"/>
                <w:szCs w:val="21"/>
              </w:rPr>
              <w:t>次</w:t>
            </w:r>
          </w:p>
        </w:tc>
      </w:tr>
      <w:tr w14:paraId="4199D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04144786">
            <w:pPr>
              <w:keepLines/>
              <w:suppressLineNumbers/>
              <w:suppressAutoHyphens/>
              <w:jc w:val="center"/>
              <w:rPr>
                <w:szCs w:val="21"/>
              </w:rPr>
            </w:pPr>
            <w:r>
              <w:rPr>
                <w:szCs w:val="21"/>
              </w:rPr>
              <w:t>5.6</w:t>
            </w:r>
          </w:p>
        </w:tc>
        <w:tc>
          <w:tcPr>
            <w:tcW w:w="3686" w:type="dxa"/>
            <w:tcBorders>
              <w:top w:val="single" w:color="auto" w:sz="4" w:space="0"/>
              <w:left w:val="single" w:color="auto" w:sz="4" w:space="0"/>
              <w:bottom w:val="single" w:color="auto" w:sz="4" w:space="0"/>
              <w:right w:val="single" w:color="auto" w:sz="4" w:space="0"/>
            </w:tcBorders>
            <w:vAlign w:val="center"/>
          </w:tcPr>
          <w:p w14:paraId="643A773A">
            <w:pPr>
              <w:keepLines/>
              <w:suppressLineNumbers/>
              <w:suppressAutoHyphens/>
              <w:rPr>
                <w:szCs w:val="21"/>
              </w:rPr>
            </w:pPr>
            <w:r>
              <w:rPr>
                <w:rFonts w:ascii="宋体" w:hAnsi="宋体"/>
                <w:szCs w:val="21"/>
              </w:rPr>
              <w:t>会议（含现场检查）无故缺席</w:t>
            </w:r>
          </w:p>
        </w:tc>
        <w:tc>
          <w:tcPr>
            <w:tcW w:w="1559" w:type="dxa"/>
            <w:tcBorders>
              <w:top w:val="single" w:color="auto" w:sz="4" w:space="0"/>
              <w:left w:val="single" w:color="auto" w:sz="4" w:space="0"/>
              <w:bottom w:val="single" w:color="auto" w:sz="4" w:space="0"/>
              <w:right w:val="single" w:color="auto" w:sz="4" w:space="0"/>
            </w:tcBorders>
            <w:vAlign w:val="center"/>
          </w:tcPr>
          <w:p w14:paraId="38CBFD83">
            <w:pPr>
              <w:keepLines/>
              <w:suppressLineNumbers/>
              <w:suppressAutoHyphens/>
              <w:rPr>
                <w:szCs w:val="21"/>
              </w:rPr>
            </w:pPr>
            <w:r>
              <w:rPr>
                <w:rFonts w:hint="eastAsia" w:ascii="宋体" w:hAnsi="宋体"/>
                <w:szCs w:val="21"/>
              </w:rPr>
              <w:t>批评教育</w:t>
            </w:r>
          </w:p>
        </w:tc>
        <w:tc>
          <w:tcPr>
            <w:tcW w:w="2552" w:type="dxa"/>
            <w:tcBorders>
              <w:top w:val="single" w:color="auto" w:sz="4" w:space="0"/>
              <w:left w:val="single" w:color="auto" w:sz="4" w:space="0"/>
              <w:bottom w:val="single" w:color="auto" w:sz="4" w:space="0"/>
              <w:right w:val="single" w:color="auto" w:sz="4" w:space="0"/>
            </w:tcBorders>
            <w:vAlign w:val="center"/>
          </w:tcPr>
          <w:p w14:paraId="0066ABEE">
            <w:pPr>
              <w:keepLines/>
              <w:suppressLineNumbers/>
              <w:suppressAutoHyphens/>
              <w:rPr>
                <w:szCs w:val="21"/>
              </w:rPr>
            </w:pPr>
            <w:r>
              <w:rPr>
                <w:rFonts w:hint="eastAsia"/>
                <w:szCs w:val="21"/>
              </w:rPr>
              <w:t>1</w:t>
            </w:r>
            <w:r>
              <w:rPr>
                <w:szCs w:val="21"/>
              </w:rPr>
              <w:t>000</w:t>
            </w:r>
            <w:r>
              <w:rPr>
                <w:rFonts w:ascii="宋体" w:hAnsi="宋体"/>
                <w:szCs w:val="21"/>
              </w:rPr>
              <w:t>元／人</w:t>
            </w:r>
            <w:r>
              <w:rPr>
                <w:szCs w:val="21"/>
              </w:rPr>
              <w:t>·</w:t>
            </w:r>
            <w:r>
              <w:rPr>
                <w:rFonts w:ascii="宋体" w:hAnsi="宋体"/>
                <w:szCs w:val="21"/>
              </w:rPr>
              <w:t>次</w:t>
            </w:r>
          </w:p>
        </w:tc>
      </w:tr>
      <w:tr w14:paraId="6AAA0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6703D403">
            <w:pPr>
              <w:keepLines/>
              <w:suppressLineNumbers/>
              <w:suppressAutoHyphens/>
              <w:jc w:val="center"/>
              <w:rPr>
                <w:szCs w:val="21"/>
              </w:rPr>
            </w:pPr>
            <w:r>
              <w:rPr>
                <w:szCs w:val="21"/>
              </w:rPr>
              <w:t>5.7</w:t>
            </w:r>
          </w:p>
        </w:tc>
        <w:tc>
          <w:tcPr>
            <w:tcW w:w="3686" w:type="dxa"/>
            <w:tcBorders>
              <w:top w:val="single" w:color="auto" w:sz="4" w:space="0"/>
              <w:left w:val="single" w:color="auto" w:sz="4" w:space="0"/>
              <w:bottom w:val="single" w:color="auto" w:sz="4" w:space="0"/>
              <w:right w:val="single" w:color="auto" w:sz="4" w:space="0"/>
            </w:tcBorders>
            <w:vAlign w:val="center"/>
          </w:tcPr>
          <w:p w14:paraId="7C501504">
            <w:pPr>
              <w:keepLines/>
              <w:suppressLineNumbers/>
              <w:suppressAutoHyphens/>
              <w:rPr>
                <w:szCs w:val="21"/>
              </w:rPr>
            </w:pPr>
            <w:r>
              <w:rPr>
                <w:rFonts w:ascii="宋体" w:hAnsi="宋体"/>
                <w:szCs w:val="21"/>
              </w:rPr>
              <w:t>对发包人／监理指令、会议决议执行不利，经一次或多次督促仍未完成</w:t>
            </w:r>
          </w:p>
        </w:tc>
        <w:tc>
          <w:tcPr>
            <w:tcW w:w="1559" w:type="dxa"/>
            <w:tcBorders>
              <w:top w:val="single" w:color="auto" w:sz="4" w:space="0"/>
              <w:left w:val="single" w:color="auto" w:sz="4" w:space="0"/>
              <w:bottom w:val="single" w:color="auto" w:sz="4" w:space="0"/>
              <w:right w:val="single" w:color="auto" w:sz="4" w:space="0"/>
            </w:tcBorders>
            <w:vAlign w:val="center"/>
          </w:tcPr>
          <w:p w14:paraId="345056A1">
            <w:pPr>
              <w:keepLines/>
              <w:suppressLineNumbers/>
              <w:suppressAutoHyphens/>
              <w:rPr>
                <w:szCs w:val="21"/>
              </w:rPr>
            </w:pPr>
            <w:r>
              <w:rPr>
                <w:rFonts w:ascii="宋体" w:hAnsi="宋体"/>
                <w:szCs w:val="21"/>
              </w:rPr>
              <w:t>限期完成</w:t>
            </w:r>
          </w:p>
        </w:tc>
        <w:tc>
          <w:tcPr>
            <w:tcW w:w="2552" w:type="dxa"/>
            <w:tcBorders>
              <w:top w:val="single" w:color="auto" w:sz="4" w:space="0"/>
              <w:left w:val="single" w:color="auto" w:sz="4" w:space="0"/>
              <w:bottom w:val="single" w:color="auto" w:sz="4" w:space="0"/>
              <w:right w:val="single" w:color="auto" w:sz="4" w:space="0"/>
            </w:tcBorders>
            <w:vAlign w:val="center"/>
          </w:tcPr>
          <w:p w14:paraId="5F35B64A">
            <w:pPr>
              <w:keepLines/>
              <w:suppressLineNumbers/>
              <w:suppressAutoHyphens/>
              <w:rPr>
                <w:szCs w:val="21"/>
              </w:rPr>
            </w:pPr>
            <w:r>
              <w:rPr>
                <w:szCs w:val="21"/>
              </w:rPr>
              <w:t>1000</w:t>
            </w:r>
            <w:r>
              <w:rPr>
                <w:rFonts w:ascii="宋体" w:hAnsi="宋体"/>
                <w:szCs w:val="21"/>
              </w:rPr>
              <w:t>元／次</w:t>
            </w:r>
          </w:p>
        </w:tc>
      </w:tr>
      <w:tr w14:paraId="53953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17A68D03">
            <w:pPr>
              <w:keepLines/>
              <w:suppressLineNumbers/>
              <w:suppressAutoHyphens/>
              <w:jc w:val="center"/>
              <w:rPr>
                <w:szCs w:val="21"/>
              </w:rPr>
            </w:pPr>
            <w:r>
              <w:rPr>
                <w:szCs w:val="21"/>
              </w:rPr>
              <w:t>5.8</w:t>
            </w:r>
          </w:p>
        </w:tc>
        <w:tc>
          <w:tcPr>
            <w:tcW w:w="3686" w:type="dxa"/>
            <w:tcBorders>
              <w:top w:val="single" w:color="auto" w:sz="4" w:space="0"/>
              <w:left w:val="single" w:color="auto" w:sz="4" w:space="0"/>
              <w:bottom w:val="single" w:color="auto" w:sz="4" w:space="0"/>
              <w:right w:val="single" w:color="auto" w:sz="4" w:space="0"/>
            </w:tcBorders>
            <w:vAlign w:val="center"/>
          </w:tcPr>
          <w:p w14:paraId="346606EB">
            <w:pPr>
              <w:keepLines/>
              <w:suppressLineNumbers/>
              <w:suppressAutoHyphens/>
              <w:rPr>
                <w:szCs w:val="21"/>
              </w:rPr>
            </w:pPr>
            <w:r>
              <w:rPr>
                <w:rFonts w:ascii="宋体" w:hAnsi="宋体"/>
                <w:szCs w:val="21"/>
              </w:rPr>
              <w:t>甲供材料、设备提量不及时、不准确造成工期拖延和材料浪费</w:t>
            </w:r>
          </w:p>
        </w:tc>
        <w:tc>
          <w:tcPr>
            <w:tcW w:w="1559" w:type="dxa"/>
            <w:tcBorders>
              <w:top w:val="single" w:color="auto" w:sz="4" w:space="0"/>
              <w:left w:val="single" w:color="auto" w:sz="4" w:space="0"/>
              <w:bottom w:val="single" w:color="auto" w:sz="4" w:space="0"/>
              <w:right w:val="single" w:color="auto" w:sz="4" w:space="0"/>
            </w:tcBorders>
            <w:vAlign w:val="center"/>
          </w:tcPr>
          <w:p w14:paraId="52479E15">
            <w:pPr>
              <w:keepLines/>
              <w:suppressLineNumbers/>
              <w:suppressAutoHyphens/>
              <w:rPr>
                <w:szCs w:val="21"/>
              </w:rPr>
            </w:pPr>
            <w:r>
              <w:rPr>
                <w:rFonts w:ascii="宋体" w:hAnsi="宋体"/>
                <w:szCs w:val="21"/>
              </w:rPr>
              <w:t>扣除总承包人材料设备管理费的</w:t>
            </w:r>
            <w:r>
              <w:rPr>
                <w:szCs w:val="21"/>
              </w:rPr>
              <w:t>20%</w:t>
            </w:r>
          </w:p>
        </w:tc>
        <w:tc>
          <w:tcPr>
            <w:tcW w:w="2552" w:type="dxa"/>
            <w:tcBorders>
              <w:top w:val="single" w:color="auto" w:sz="4" w:space="0"/>
              <w:left w:val="single" w:color="auto" w:sz="4" w:space="0"/>
              <w:bottom w:val="single" w:color="auto" w:sz="4" w:space="0"/>
              <w:right w:val="single" w:color="auto" w:sz="4" w:space="0"/>
            </w:tcBorders>
            <w:vAlign w:val="center"/>
          </w:tcPr>
          <w:p w14:paraId="4F3CBEE0">
            <w:pPr>
              <w:keepLines/>
              <w:suppressLineNumbers/>
              <w:suppressAutoHyphens/>
              <w:rPr>
                <w:szCs w:val="21"/>
              </w:rPr>
            </w:pPr>
            <w:r>
              <w:rPr>
                <w:rFonts w:ascii="宋体" w:hAnsi="宋体"/>
                <w:szCs w:val="21"/>
              </w:rPr>
              <w:t>浪费部分双倍赔偿</w:t>
            </w:r>
          </w:p>
        </w:tc>
      </w:tr>
      <w:tr w14:paraId="16B92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622F77F6">
            <w:pPr>
              <w:keepLines/>
              <w:suppressLineNumbers/>
              <w:suppressAutoHyphens/>
              <w:jc w:val="center"/>
              <w:rPr>
                <w:szCs w:val="21"/>
              </w:rPr>
            </w:pPr>
            <w:r>
              <w:rPr>
                <w:szCs w:val="21"/>
              </w:rPr>
              <w:t>5.9</w:t>
            </w:r>
          </w:p>
        </w:tc>
        <w:tc>
          <w:tcPr>
            <w:tcW w:w="3686" w:type="dxa"/>
            <w:tcBorders>
              <w:top w:val="single" w:color="auto" w:sz="4" w:space="0"/>
              <w:left w:val="single" w:color="auto" w:sz="4" w:space="0"/>
              <w:bottom w:val="single" w:color="auto" w:sz="4" w:space="0"/>
              <w:right w:val="single" w:color="auto" w:sz="4" w:space="0"/>
            </w:tcBorders>
            <w:vAlign w:val="center"/>
          </w:tcPr>
          <w:p w14:paraId="38368C99">
            <w:pPr>
              <w:keepLines/>
              <w:suppressLineNumbers/>
              <w:suppressAutoHyphens/>
              <w:rPr>
                <w:szCs w:val="21"/>
              </w:rPr>
            </w:pPr>
            <w:r>
              <w:rPr>
                <w:rFonts w:ascii="宋体" w:hAnsi="宋体"/>
                <w:szCs w:val="21"/>
              </w:rPr>
              <w:t>甲供材料、设备仓储管理混乱造成材料设备丢失、损坏</w:t>
            </w:r>
          </w:p>
        </w:tc>
        <w:tc>
          <w:tcPr>
            <w:tcW w:w="1559" w:type="dxa"/>
            <w:tcBorders>
              <w:top w:val="single" w:color="auto" w:sz="4" w:space="0"/>
              <w:left w:val="single" w:color="auto" w:sz="4" w:space="0"/>
              <w:bottom w:val="single" w:color="auto" w:sz="4" w:space="0"/>
              <w:right w:val="single" w:color="auto" w:sz="4" w:space="0"/>
            </w:tcBorders>
            <w:vAlign w:val="center"/>
          </w:tcPr>
          <w:p w14:paraId="33F51DC2">
            <w:pPr>
              <w:keepLines/>
              <w:suppressLineNumbers/>
              <w:suppressAutoHyphens/>
              <w:rPr>
                <w:szCs w:val="21"/>
              </w:rPr>
            </w:pPr>
            <w:r>
              <w:rPr>
                <w:rFonts w:hint="eastAsia" w:ascii="宋体" w:hAnsi="宋体"/>
                <w:szCs w:val="21"/>
              </w:rPr>
              <w:t>限期整改</w:t>
            </w:r>
          </w:p>
        </w:tc>
        <w:tc>
          <w:tcPr>
            <w:tcW w:w="2552" w:type="dxa"/>
            <w:tcBorders>
              <w:top w:val="single" w:color="auto" w:sz="4" w:space="0"/>
              <w:left w:val="single" w:color="auto" w:sz="4" w:space="0"/>
              <w:bottom w:val="single" w:color="auto" w:sz="4" w:space="0"/>
              <w:right w:val="single" w:color="auto" w:sz="4" w:space="0"/>
            </w:tcBorders>
            <w:vAlign w:val="center"/>
          </w:tcPr>
          <w:p w14:paraId="49F83867">
            <w:pPr>
              <w:keepLines/>
              <w:suppressLineNumbers/>
              <w:suppressAutoHyphens/>
              <w:rPr>
                <w:szCs w:val="21"/>
              </w:rPr>
            </w:pPr>
            <w:r>
              <w:rPr>
                <w:rFonts w:ascii="宋体" w:hAnsi="宋体"/>
                <w:szCs w:val="21"/>
              </w:rPr>
              <w:t>双倍赔偿丢失、损坏的材料设备</w:t>
            </w:r>
          </w:p>
        </w:tc>
      </w:tr>
      <w:tr w14:paraId="18DD2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2D38EB63">
            <w:pPr>
              <w:keepLines/>
              <w:suppressLineNumbers/>
              <w:suppressAutoHyphens/>
              <w:jc w:val="center"/>
              <w:rPr>
                <w:b/>
                <w:szCs w:val="21"/>
              </w:rPr>
            </w:pPr>
            <w:r>
              <w:rPr>
                <w:b/>
                <w:szCs w:val="21"/>
              </w:rPr>
              <w:t>6</w:t>
            </w:r>
          </w:p>
        </w:tc>
        <w:tc>
          <w:tcPr>
            <w:tcW w:w="7797" w:type="dxa"/>
            <w:gridSpan w:val="3"/>
            <w:tcBorders>
              <w:top w:val="single" w:color="auto" w:sz="4" w:space="0"/>
              <w:left w:val="single" w:color="auto" w:sz="4" w:space="0"/>
              <w:bottom w:val="single" w:color="auto" w:sz="4" w:space="0"/>
              <w:right w:val="single" w:color="auto" w:sz="4" w:space="0"/>
            </w:tcBorders>
            <w:vAlign w:val="center"/>
          </w:tcPr>
          <w:p w14:paraId="3146D77A">
            <w:pPr>
              <w:keepLines/>
              <w:suppressLineNumbers/>
              <w:suppressAutoHyphens/>
              <w:rPr>
                <w:b/>
                <w:szCs w:val="21"/>
              </w:rPr>
            </w:pPr>
            <w:r>
              <w:rPr>
                <w:rFonts w:ascii="宋体" w:hAnsi="宋体"/>
                <w:b/>
                <w:bCs/>
                <w:szCs w:val="21"/>
              </w:rPr>
              <w:t>总承包人对分包人的管理及配合</w:t>
            </w:r>
          </w:p>
        </w:tc>
      </w:tr>
      <w:tr w14:paraId="2841F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285B97D3">
            <w:pPr>
              <w:keepLines/>
              <w:suppressLineNumbers/>
              <w:suppressAutoHyphens/>
              <w:jc w:val="center"/>
              <w:rPr>
                <w:szCs w:val="21"/>
              </w:rPr>
            </w:pPr>
            <w:r>
              <w:rPr>
                <w:szCs w:val="21"/>
              </w:rPr>
              <w:t>6.1</w:t>
            </w:r>
          </w:p>
        </w:tc>
        <w:tc>
          <w:tcPr>
            <w:tcW w:w="3686" w:type="dxa"/>
            <w:tcBorders>
              <w:top w:val="single" w:color="auto" w:sz="4" w:space="0"/>
              <w:left w:val="single" w:color="auto" w:sz="4" w:space="0"/>
              <w:bottom w:val="single" w:color="auto" w:sz="4" w:space="0"/>
              <w:right w:val="single" w:color="auto" w:sz="4" w:space="0"/>
            </w:tcBorders>
            <w:vAlign w:val="center"/>
          </w:tcPr>
          <w:p w14:paraId="15991784">
            <w:pPr>
              <w:keepLines/>
              <w:suppressLineNumbers/>
              <w:suppressAutoHyphens/>
              <w:rPr>
                <w:szCs w:val="21"/>
              </w:rPr>
            </w:pPr>
            <w:r>
              <w:rPr>
                <w:rFonts w:ascii="宋体" w:hAnsi="宋体"/>
                <w:szCs w:val="21"/>
              </w:rPr>
              <w:t>未按合同要求对分包人工程进度、质量及安全文明进行有效管理</w:t>
            </w:r>
          </w:p>
        </w:tc>
        <w:tc>
          <w:tcPr>
            <w:tcW w:w="1559" w:type="dxa"/>
            <w:tcBorders>
              <w:top w:val="single" w:color="auto" w:sz="4" w:space="0"/>
              <w:left w:val="single" w:color="auto" w:sz="4" w:space="0"/>
              <w:bottom w:val="single" w:color="auto" w:sz="4" w:space="0"/>
              <w:right w:val="single" w:color="auto" w:sz="4" w:space="0"/>
            </w:tcBorders>
            <w:vAlign w:val="center"/>
          </w:tcPr>
          <w:p w14:paraId="5E4DB204">
            <w:pPr>
              <w:keepLines/>
              <w:suppressLineNumbers/>
              <w:suppressAutoHyphens/>
              <w:rPr>
                <w:szCs w:val="21"/>
              </w:rPr>
            </w:pPr>
            <w:r>
              <w:rPr>
                <w:rFonts w:hint="eastAsia" w:ascii="宋体" w:hAnsi="宋体"/>
                <w:szCs w:val="21"/>
              </w:rPr>
              <w:t>限期整改</w:t>
            </w:r>
          </w:p>
        </w:tc>
        <w:tc>
          <w:tcPr>
            <w:tcW w:w="2552" w:type="dxa"/>
            <w:tcBorders>
              <w:top w:val="single" w:color="auto" w:sz="4" w:space="0"/>
              <w:left w:val="single" w:color="auto" w:sz="4" w:space="0"/>
              <w:bottom w:val="single" w:color="auto" w:sz="4" w:space="0"/>
              <w:right w:val="single" w:color="auto" w:sz="4" w:space="0"/>
            </w:tcBorders>
            <w:vAlign w:val="center"/>
          </w:tcPr>
          <w:p w14:paraId="6D74E96C">
            <w:pPr>
              <w:keepLines/>
              <w:suppressLineNumbers/>
              <w:suppressAutoHyphens/>
              <w:rPr>
                <w:szCs w:val="21"/>
              </w:rPr>
            </w:pPr>
            <w:r>
              <w:rPr>
                <w:rFonts w:hint="eastAsia"/>
                <w:szCs w:val="21"/>
              </w:rPr>
              <w:t>1</w:t>
            </w:r>
            <w:r>
              <w:rPr>
                <w:szCs w:val="21"/>
              </w:rPr>
              <w:t>000</w:t>
            </w:r>
            <w:r>
              <w:rPr>
                <w:rFonts w:ascii="宋体" w:hAnsi="宋体"/>
                <w:szCs w:val="21"/>
              </w:rPr>
              <w:t>元／次</w:t>
            </w:r>
          </w:p>
        </w:tc>
      </w:tr>
      <w:tr w14:paraId="4F2CE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5796F3B0">
            <w:pPr>
              <w:keepLines/>
              <w:suppressLineNumbers/>
              <w:suppressAutoHyphens/>
              <w:jc w:val="center"/>
              <w:rPr>
                <w:szCs w:val="21"/>
              </w:rPr>
            </w:pPr>
            <w:r>
              <w:rPr>
                <w:szCs w:val="21"/>
              </w:rPr>
              <w:t>6.2</w:t>
            </w:r>
          </w:p>
        </w:tc>
        <w:tc>
          <w:tcPr>
            <w:tcW w:w="3686" w:type="dxa"/>
            <w:tcBorders>
              <w:top w:val="single" w:color="auto" w:sz="4" w:space="0"/>
              <w:left w:val="single" w:color="auto" w:sz="4" w:space="0"/>
              <w:bottom w:val="single" w:color="auto" w:sz="4" w:space="0"/>
              <w:right w:val="single" w:color="auto" w:sz="4" w:space="0"/>
            </w:tcBorders>
            <w:vAlign w:val="center"/>
          </w:tcPr>
          <w:p w14:paraId="495CC6F1">
            <w:pPr>
              <w:keepLines/>
              <w:suppressLineNumbers/>
              <w:suppressAutoHyphens/>
              <w:rPr>
                <w:szCs w:val="21"/>
              </w:rPr>
            </w:pPr>
            <w:r>
              <w:rPr>
                <w:rFonts w:ascii="宋体" w:hAnsi="宋体"/>
                <w:szCs w:val="21"/>
              </w:rPr>
              <w:t>未按合同要求对分包人提供配合服务</w:t>
            </w:r>
          </w:p>
        </w:tc>
        <w:tc>
          <w:tcPr>
            <w:tcW w:w="1559" w:type="dxa"/>
            <w:tcBorders>
              <w:top w:val="single" w:color="auto" w:sz="4" w:space="0"/>
              <w:left w:val="single" w:color="auto" w:sz="4" w:space="0"/>
              <w:bottom w:val="single" w:color="auto" w:sz="4" w:space="0"/>
              <w:right w:val="single" w:color="auto" w:sz="4" w:space="0"/>
            </w:tcBorders>
            <w:vAlign w:val="center"/>
          </w:tcPr>
          <w:p w14:paraId="7E725037">
            <w:pPr>
              <w:keepLines/>
              <w:suppressLineNumbers/>
              <w:suppressAutoHyphens/>
              <w:rPr>
                <w:szCs w:val="21"/>
              </w:rPr>
            </w:pPr>
            <w:r>
              <w:rPr>
                <w:rFonts w:ascii="宋体" w:hAnsi="宋体"/>
                <w:szCs w:val="21"/>
              </w:rPr>
              <w:t>限期提供</w:t>
            </w:r>
          </w:p>
        </w:tc>
        <w:tc>
          <w:tcPr>
            <w:tcW w:w="2552" w:type="dxa"/>
            <w:tcBorders>
              <w:top w:val="single" w:color="auto" w:sz="4" w:space="0"/>
              <w:left w:val="single" w:color="auto" w:sz="4" w:space="0"/>
              <w:bottom w:val="single" w:color="auto" w:sz="4" w:space="0"/>
              <w:right w:val="single" w:color="auto" w:sz="4" w:space="0"/>
            </w:tcBorders>
            <w:vAlign w:val="center"/>
          </w:tcPr>
          <w:p w14:paraId="0A246682">
            <w:pPr>
              <w:keepLines/>
              <w:suppressLineNumbers/>
              <w:suppressAutoHyphens/>
              <w:rPr>
                <w:szCs w:val="21"/>
              </w:rPr>
            </w:pPr>
            <w:r>
              <w:rPr>
                <w:rFonts w:hint="eastAsia"/>
                <w:szCs w:val="21"/>
              </w:rPr>
              <w:t>1</w:t>
            </w:r>
            <w:r>
              <w:rPr>
                <w:szCs w:val="21"/>
              </w:rPr>
              <w:t>000</w:t>
            </w:r>
            <w:r>
              <w:rPr>
                <w:rFonts w:ascii="宋体" w:hAnsi="宋体"/>
                <w:szCs w:val="21"/>
              </w:rPr>
              <w:t>元／次</w:t>
            </w:r>
          </w:p>
        </w:tc>
      </w:tr>
      <w:tr w14:paraId="2637B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7B852C66">
            <w:pPr>
              <w:keepLines/>
              <w:suppressLineNumbers/>
              <w:suppressAutoHyphens/>
              <w:jc w:val="center"/>
              <w:rPr>
                <w:szCs w:val="21"/>
              </w:rPr>
            </w:pPr>
            <w:r>
              <w:rPr>
                <w:szCs w:val="21"/>
              </w:rPr>
              <w:t>6.3</w:t>
            </w:r>
          </w:p>
        </w:tc>
        <w:tc>
          <w:tcPr>
            <w:tcW w:w="3686" w:type="dxa"/>
            <w:tcBorders>
              <w:top w:val="single" w:color="auto" w:sz="4" w:space="0"/>
              <w:left w:val="single" w:color="auto" w:sz="4" w:space="0"/>
              <w:bottom w:val="single" w:color="auto" w:sz="4" w:space="0"/>
              <w:right w:val="single" w:color="auto" w:sz="4" w:space="0"/>
            </w:tcBorders>
            <w:vAlign w:val="center"/>
          </w:tcPr>
          <w:p w14:paraId="7147EEEB">
            <w:pPr>
              <w:keepLines/>
              <w:suppressLineNumbers/>
              <w:suppressAutoHyphens/>
              <w:rPr>
                <w:szCs w:val="21"/>
              </w:rPr>
            </w:pPr>
            <w:r>
              <w:rPr>
                <w:rFonts w:ascii="宋体" w:hAnsi="宋体"/>
                <w:szCs w:val="21"/>
              </w:rPr>
              <w:t>未能履行总承包人协调管理义务，造成分包工作不能正常进行</w:t>
            </w:r>
          </w:p>
        </w:tc>
        <w:tc>
          <w:tcPr>
            <w:tcW w:w="1559" w:type="dxa"/>
            <w:tcBorders>
              <w:top w:val="single" w:color="auto" w:sz="4" w:space="0"/>
              <w:left w:val="single" w:color="auto" w:sz="4" w:space="0"/>
              <w:bottom w:val="single" w:color="auto" w:sz="4" w:space="0"/>
              <w:right w:val="single" w:color="auto" w:sz="4" w:space="0"/>
            </w:tcBorders>
            <w:vAlign w:val="center"/>
          </w:tcPr>
          <w:p w14:paraId="7433310C">
            <w:pPr>
              <w:keepLines/>
              <w:suppressLineNumbers/>
              <w:suppressAutoHyphens/>
              <w:rPr>
                <w:szCs w:val="21"/>
              </w:rPr>
            </w:pPr>
            <w:r>
              <w:rPr>
                <w:rFonts w:ascii="宋体" w:hAnsi="宋体"/>
                <w:szCs w:val="21"/>
              </w:rPr>
              <w:t>限期协调</w:t>
            </w:r>
          </w:p>
        </w:tc>
        <w:tc>
          <w:tcPr>
            <w:tcW w:w="2552" w:type="dxa"/>
            <w:tcBorders>
              <w:top w:val="single" w:color="auto" w:sz="4" w:space="0"/>
              <w:left w:val="single" w:color="auto" w:sz="4" w:space="0"/>
              <w:bottom w:val="single" w:color="auto" w:sz="4" w:space="0"/>
              <w:right w:val="single" w:color="auto" w:sz="4" w:space="0"/>
            </w:tcBorders>
            <w:vAlign w:val="center"/>
          </w:tcPr>
          <w:p w14:paraId="0EF2801A">
            <w:pPr>
              <w:keepLines/>
              <w:suppressLineNumbers/>
              <w:suppressAutoHyphens/>
              <w:rPr>
                <w:szCs w:val="21"/>
              </w:rPr>
            </w:pPr>
            <w:r>
              <w:rPr>
                <w:rFonts w:hint="eastAsia"/>
                <w:szCs w:val="21"/>
              </w:rPr>
              <w:t>1</w:t>
            </w:r>
            <w:r>
              <w:rPr>
                <w:szCs w:val="21"/>
              </w:rPr>
              <w:t>000</w:t>
            </w:r>
            <w:r>
              <w:rPr>
                <w:rFonts w:ascii="宋体" w:hAnsi="宋体"/>
                <w:szCs w:val="21"/>
              </w:rPr>
              <w:t>元／次</w:t>
            </w:r>
          </w:p>
        </w:tc>
      </w:tr>
      <w:tr w14:paraId="5E407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5B8BAFFE">
            <w:pPr>
              <w:keepLines/>
              <w:suppressLineNumbers/>
              <w:suppressAutoHyphens/>
              <w:jc w:val="center"/>
              <w:rPr>
                <w:szCs w:val="21"/>
              </w:rPr>
            </w:pPr>
            <w:r>
              <w:rPr>
                <w:szCs w:val="21"/>
              </w:rPr>
              <w:t>6.4</w:t>
            </w:r>
          </w:p>
        </w:tc>
        <w:tc>
          <w:tcPr>
            <w:tcW w:w="3686" w:type="dxa"/>
            <w:tcBorders>
              <w:top w:val="single" w:color="auto" w:sz="4" w:space="0"/>
              <w:left w:val="single" w:color="auto" w:sz="4" w:space="0"/>
              <w:bottom w:val="single" w:color="auto" w:sz="4" w:space="0"/>
              <w:right w:val="single" w:color="auto" w:sz="4" w:space="0"/>
            </w:tcBorders>
            <w:vAlign w:val="center"/>
          </w:tcPr>
          <w:p w14:paraId="482514F9">
            <w:pPr>
              <w:keepLines/>
              <w:suppressLineNumbers/>
              <w:suppressAutoHyphens/>
              <w:rPr>
                <w:szCs w:val="21"/>
              </w:rPr>
            </w:pPr>
            <w:r>
              <w:rPr>
                <w:rFonts w:ascii="宋体" w:hAnsi="宋体"/>
                <w:szCs w:val="21"/>
              </w:rPr>
              <w:t>对分包人提出合同以外无理要求（含额外费用等）</w:t>
            </w:r>
          </w:p>
        </w:tc>
        <w:tc>
          <w:tcPr>
            <w:tcW w:w="1559" w:type="dxa"/>
            <w:tcBorders>
              <w:top w:val="single" w:color="auto" w:sz="4" w:space="0"/>
              <w:left w:val="single" w:color="auto" w:sz="4" w:space="0"/>
              <w:bottom w:val="single" w:color="auto" w:sz="4" w:space="0"/>
              <w:right w:val="single" w:color="auto" w:sz="4" w:space="0"/>
            </w:tcBorders>
            <w:vAlign w:val="center"/>
          </w:tcPr>
          <w:p w14:paraId="04D93AC0">
            <w:pPr>
              <w:keepLines/>
              <w:suppressLineNumbers/>
              <w:suppressAutoHyphens/>
              <w:rPr>
                <w:szCs w:val="21"/>
              </w:rPr>
            </w:pPr>
            <w:r>
              <w:rPr>
                <w:rFonts w:hint="eastAsia" w:ascii="宋体" w:hAnsi="宋体"/>
                <w:szCs w:val="21"/>
              </w:rPr>
              <w:t>限期整改</w:t>
            </w:r>
          </w:p>
        </w:tc>
        <w:tc>
          <w:tcPr>
            <w:tcW w:w="2552" w:type="dxa"/>
            <w:tcBorders>
              <w:top w:val="single" w:color="auto" w:sz="4" w:space="0"/>
              <w:left w:val="single" w:color="auto" w:sz="4" w:space="0"/>
              <w:bottom w:val="single" w:color="auto" w:sz="4" w:space="0"/>
              <w:right w:val="single" w:color="auto" w:sz="4" w:space="0"/>
            </w:tcBorders>
            <w:vAlign w:val="center"/>
          </w:tcPr>
          <w:p w14:paraId="517F9073">
            <w:pPr>
              <w:keepLines/>
              <w:suppressLineNumbers/>
              <w:suppressAutoHyphens/>
              <w:rPr>
                <w:szCs w:val="21"/>
              </w:rPr>
            </w:pPr>
            <w:r>
              <w:rPr>
                <w:rFonts w:hint="eastAsia"/>
                <w:szCs w:val="21"/>
              </w:rPr>
              <w:t>1</w:t>
            </w:r>
            <w:r>
              <w:rPr>
                <w:szCs w:val="21"/>
              </w:rPr>
              <w:t>000</w:t>
            </w:r>
            <w:r>
              <w:rPr>
                <w:rFonts w:ascii="宋体" w:hAnsi="宋体"/>
                <w:szCs w:val="21"/>
              </w:rPr>
              <w:t>元／次</w:t>
            </w:r>
          </w:p>
        </w:tc>
      </w:tr>
      <w:tr w14:paraId="48926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55B9010C">
            <w:pPr>
              <w:keepLines/>
              <w:suppressLineNumbers/>
              <w:suppressAutoHyphens/>
              <w:jc w:val="center"/>
              <w:rPr>
                <w:b/>
                <w:szCs w:val="21"/>
              </w:rPr>
            </w:pPr>
            <w:r>
              <w:rPr>
                <w:b/>
                <w:szCs w:val="21"/>
              </w:rPr>
              <w:t>7</w:t>
            </w:r>
          </w:p>
        </w:tc>
        <w:tc>
          <w:tcPr>
            <w:tcW w:w="7797" w:type="dxa"/>
            <w:gridSpan w:val="3"/>
            <w:tcBorders>
              <w:top w:val="single" w:color="auto" w:sz="4" w:space="0"/>
              <w:left w:val="single" w:color="auto" w:sz="4" w:space="0"/>
              <w:bottom w:val="single" w:color="auto" w:sz="4" w:space="0"/>
              <w:right w:val="single" w:color="auto" w:sz="4" w:space="0"/>
            </w:tcBorders>
            <w:vAlign w:val="center"/>
          </w:tcPr>
          <w:p w14:paraId="284C005A">
            <w:pPr>
              <w:keepLines/>
              <w:suppressLineNumbers/>
              <w:suppressAutoHyphens/>
              <w:rPr>
                <w:b/>
                <w:szCs w:val="21"/>
              </w:rPr>
            </w:pPr>
            <w:r>
              <w:rPr>
                <w:rFonts w:ascii="宋体" w:hAnsi="宋体"/>
                <w:b/>
                <w:szCs w:val="21"/>
              </w:rPr>
              <w:t>其他</w:t>
            </w:r>
          </w:p>
        </w:tc>
      </w:tr>
      <w:tr w14:paraId="07C01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121C6387">
            <w:pPr>
              <w:keepLines/>
              <w:suppressLineNumbers/>
              <w:suppressAutoHyphens/>
              <w:jc w:val="center"/>
              <w:rPr>
                <w:szCs w:val="21"/>
              </w:rPr>
            </w:pPr>
            <w:r>
              <w:rPr>
                <w:szCs w:val="21"/>
              </w:rPr>
              <w:t>7.1</w:t>
            </w:r>
          </w:p>
        </w:tc>
        <w:tc>
          <w:tcPr>
            <w:tcW w:w="3686" w:type="dxa"/>
            <w:tcBorders>
              <w:top w:val="single" w:color="auto" w:sz="4" w:space="0"/>
              <w:left w:val="single" w:color="auto" w:sz="4" w:space="0"/>
              <w:bottom w:val="single" w:color="auto" w:sz="4" w:space="0"/>
              <w:right w:val="single" w:color="auto" w:sz="4" w:space="0"/>
            </w:tcBorders>
            <w:vAlign w:val="center"/>
          </w:tcPr>
          <w:p w14:paraId="478952CC">
            <w:pPr>
              <w:keepLines/>
              <w:suppressLineNumbers/>
              <w:suppressAutoHyphens/>
              <w:rPr>
                <w:szCs w:val="21"/>
              </w:rPr>
            </w:pPr>
            <w:r>
              <w:rPr>
                <w:rFonts w:ascii="宋体" w:hAnsi="宋体"/>
                <w:szCs w:val="21"/>
              </w:rPr>
              <w:t>未能及时有效解决扰民与民扰问题</w:t>
            </w:r>
          </w:p>
        </w:tc>
        <w:tc>
          <w:tcPr>
            <w:tcW w:w="1559" w:type="dxa"/>
            <w:tcBorders>
              <w:top w:val="single" w:color="auto" w:sz="4" w:space="0"/>
              <w:left w:val="single" w:color="auto" w:sz="4" w:space="0"/>
              <w:bottom w:val="single" w:color="auto" w:sz="4" w:space="0"/>
              <w:right w:val="single" w:color="auto" w:sz="4" w:space="0"/>
            </w:tcBorders>
            <w:vAlign w:val="center"/>
          </w:tcPr>
          <w:p w14:paraId="26F4F89B">
            <w:pPr>
              <w:keepLines/>
              <w:suppressLineNumbers/>
              <w:suppressAutoHyphens/>
              <w:rPr>
                <w:szCs w:val="21"/>
              </w:rPr>
            </w:pPr>
            <w:r>
              <w:rPr>
                <w:rFonts w:ascii="宋体" w:hAnsi="宋体"/>
                <w:szCs w:val="21"/>
              </w:rPr>
              <w:t>限期协调</w:t>
            </w:r>
          </w:p>
        </w:tc>
        <w:tc>
          <w:tcPr>
            <w:tcW w:w="2552" w:type="dxa"/>
            <w:tcBorders>
              <w:top w:val="single" w:color="auto" w:sz="4" w:space="0"/>
              <w:left w:val="single" w:color="auto" w:sz="4" w:space="0"/>
              <w:bottom w:val="single" w:color="auto" w:sz="4" w:space="0"/>
              <w:right w:val="single" w:color="auto" w:sz="4" w:space="0"/>
            </w:tcBorders>
            <w:vAlign w:val="center"/>
          </w:tcPr>
          <w:p w14:paraId="454B9D78">
            <w:pPr>
              <w:keepLines/>
              <w:suppressLineNumbers/>
              <w:suppressAutoHyphens/>
              <w:rPr>
                <w:szCs w:val="21"/>
              </w:rPr>
            </w:pPr>
            <w:r>
              <w:rPr>
                <w:szCs w:val="21"/>
              </w:rPr>
              <w:t>1000</w:t>
            </w:r>
            <w:r>
              <w:rPr>
                <w:rFonts w:ascii="宋体" w:hAnsi="宋体"/>
                <w:szCs w:val="21"/>
              </w:rPr>
              <w:t>元</w:t>
            </w:r>
            <w:r>
              <w:rPr>
                <w:szCs w:val="21"/>
              </w:rPr>
              <w:t>/</w:t>
            </w:r>
            <w:r>
              <w:rPr>
                <w:rFonts w:ascii="宋体" w:hAnsi="宋体"/>
                <w:szCs w:val="21"/>
              </w:rPr>
              <w:t>次</w:t>
            </w:r>
          </w:p>
        </w:tc>
      </w:tr>
      <w:tr w14:paraId="13CEA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26F64B0E">
            <w:pPr>
              <w:keepLines/>
              <w:suppressLineNumbers/>
              <w:suppressAutoHyphens/>
              <w:spacing w:line="360" w:lineRule="auto"/>
              <w:jc w:val="center"/>
              <w:rPr>
                <w:szCs w:val="21"/>
              </w:rPr>
            </w:pPr>
            <w:r>
              <w:rPr>
                <w:rFonts w:hint="eastAsia"/>
                <w:szCs w:val="21"/>
              </w:rPr>
              <w:t>7.2</w:t>
            </w:r>
          </w:p>
        </w:tc>
        <w:tc>
          <w:tcPr>
            <w:tcW w:w="3686" w:type="dxa"/>
            <w:tcBorders>
              <w:top w:val="single" w:color="auto" w:sz="4" w:space="0"/>
              <w:left w:val="single" w:color="auto" w:sz="4" w:space="0"/>
              <w:bottom w:val="single" w:color="auto" w:sz="4" w:space="0"/>
              <w:right w:val="single" w:color="auto" w:sz="4" w:space="0"/>
            </w:tcBorders>
            <w:vAlign w:val="center"/>
          </w:tcPr>
          <w:p w14:paraId="2A87D665">
            <w:pPr>
              <w:keepLines/>
              <w:suppressLineNumbers/>
              <w:suppressAutoHyphens/>
              <w:rPr>
                <w:szCs w:val="21"/>
              </w:rPr>
            </w:pPr>
            <w:r>
              <w:rPr>
                <w:rFonts w:hint="eastAsia" w:ascii="宋体" w:hAnsi="宋体"/>
                <w:szCs w:val="21"/>
              </w:rPr>
              <w:t>未能及时有效的处理解决农民工薪酬、工伤、死亡赔偿及分包单位工程结算问题，发生个人及群体（超过</w:t>
            </w:r>
            <w:r>
              <w:rPr>
                <w:rFonts w:hint="eastAsia"/>
                <w:szCs w:val="21"/>
              </w:rPr>
              <w:t>2</w:t>
            </w:r>
            <w:r>
              <w:rPr>
                <w:rFonts w:hint="eastAsia" w:ascii="宋体" w:hAnsi="宋体"/>
                <w:szCs w:val="21"/>
              </w:rPr>
              <w:t>人）上访、围攻项目部、业主公司及业主上级单位等情况</w:t>
            </w:r>
          </w:p>
        </w:tc>
        <w:tc>
          <w:tcPr>
            <w:tcW w:w="1559" w:type="dxa"/>
            <w:tcBorders>
              <w:top w:val="single" w:color="auto" w:sz="4" w:space="0"/>
              <w:left w:val="single" w:color="auto" w:sz="4" w:space="0"/>
              <w:bottom w:val="single" w:color="auto" w:sz="4" w:space="0"/>
              <w:right w:val="single" w:color="auto" w:sz="4" w:space="0"/>
            </w:tcBorders>
            <w:vAlign w:val="center"/>
          </w:tcPr>
          <w:p w14:paraId="17010364">
            <w:pPr>
              <w:keepLines/>
              <w:suppressLineNumbers/>
              <w:suppressAutoHyphens/>
              <w:spacing w:line="360" w:lineRule="auto"/>
              <w:rPr>
                <w:szCs w:val="21"/>
              </w:rPr>
            </w:pPr>
            <w:r>
              <w:rPr>
                <w:rFonts w:hint="eastAsia" w:ascii="宋体" w:hAnsi="宋体"/>
                <w:szCs w:val="21"/>
              </w:rPr>
              <w:t>限期协调</w:t>
            </w:r>
          </w:p>
        </w:tc>
        <w:tc>
          <w:tcPr>
            <w:tcW w:w="2552" w:type="dxa"/>
            <w:tcBorders>
              <w:top w:val="single" w:color="auto" w:sz="4" w:space="0"/>
              <w:left w:val="single" w:color="auto" w:sz="4" w:space="0"/>
              <w:bottom w:val="single" w:color="auto" w:sz="4" w:space="0"/>
              <w:right w:val="single" w:color="auto" w:sz="4" w:space="0"/>
            </w:tcBorders>
            <w:vAlign w:val="center"/>
          </w:tcPr>
          <w:p w14:paraId="3DCAF095">
            <w:pPr>
              <w:keepLines/>
              <w:suppressLineNumbers/>
              <w:suppressAutoHyphens/>
              <w:spacing w:line="360" w:lineRule="auto"/>
              <w:rPr>
                <w:szCs w:val="21"/>
              </w:rPr>
            </w:pPr>
            <w:r>
              <w:rPr>
                <w:rFonts w:hint="eastAsia"/>
                <w:szCs w:val="21"/>
              </w:rPr>
              <w:t>2</w:t>
            </w:r>
            <w:r>
              <w:rPr>
                <w:szCs w:val="21"/>
              </w:rPr>
              <w:t>0000</w:t>
            </w:r>
            <w:r>
              <w:rPr>
                <w:rFonts w:ascii="宋体" w:hAnsi="宋体"/>
                <w:szCs w:val="21"/>
              </w:rPr>
              <w:t>元</w:t>
            </w:r>
            <w:r>
              <w:rPr>
                <w:szCs w:val="21"/>
              </w:rPr>
              <w:t>/</w:t>
            </w:r>
            <w:r>
              <w:rPr>
                <w:rFonts w:ascii="宋体" w:hAnsi="宋体"/>
                <w:szCs w:val="21"/>
              </w:rPr>
              <w:t>次</w:t>
            </w:r>
          </w:p>
        </w:tc>
      </w:tr>
      <w:bookmarkEnd w:id="19"/>
    </w:tbl>
    <w:p w14:paraId="0D04F83D">
      <w:pPr>
        <w:spacing w:line="420" w:lineRule="exact"/>
        <w:ind w:firstLine="472" w:firstLineChars="225"/>
        <w:jc w:val="left"/>
        <w:rPr>
          <w:rFonts w:hint="eastAsia" w:asciiTheme="minorEastAsia" w:hAnsiTheme="minorEastAsia" w:eastAsiaTheme="minorEastAsia" w:cstheme="minorEastAsia"/>
          <w:szCs w:val="21"/>
          <w:lang w:bidi="ar-SA"/>
        </w:rPr>
      </w:pPr>
    </w:p>
    <w:p w14:paraId="46F4CBDE">
      <w:pPr>
        <w:spacing w:line="600" w:lineRule="exact"/>
        <w:rPr>
          <w:rFonts w:ascii="宋体" w:hAnsi="宋体"/>
          <w:sz w:val="28"/>
          <w:szCs w:val="28"/>
        </w:rPr>
      </w:pPr>
    </w:p>
    <w:p w14:paraId="57BD1CBD">
      <w:pPr>
        <w:spacing w:line="420" w:lineRule="exact"/>
        <w:ind w:leftChars="-67" w:hanging="141" w:hangingChars="67"/>
        <w:jc w:val="left"/>
        <w:rPr>
          <w:rFonts w:ascii="等线" w:hAnsi="等线" w:eastAsia="等线"/>
          <w:b/>
          <w:bCs/>
          <w:color w:val="0070C0"/>
          <w:szCs w:val="21"/>
        </w:rPr>
      </w:pPr>
      <w:r>
        <w:rPr>
          <w:rFonts w:hint="eastAsia" w:ascii="等线" w:hAnsi="等线" w:eastAsia="等线"/>
          <w:b/>
          <w:bCs/>
          <w:color w:val="0070C0"/>
          <w:szCs w:val="21"/>
          <w:lang w:val="en-US" w:eastAsia="zh-CN"/>
        </w:rPr>
        <w:t>十二</w:t>
      </w:r>
      <w:r>
        <w:rPr>
          <w:rFonts w:hint="eastAsia" w:ascii="等线" w:hAnsi="等线" w:eastAsia="等线"/>
          <w:b/>
          <w:bCs/>
          <w:color w:val="0070C0"/>
          <w:szCs w:val="21"/>
        </w:rPr>
        <w:t>、报价方式及交货期、付款方式：</w:t>
      </w:r>
    </w:p>
    <w:p w14:paraId="3DF181DF">
      <w:pPr>
        <w:spacing w:line="400" w:lineRule="exact"/>
        <w:ind w:left="561" w:leftChars="267"/>
        <w:rPr>
          <w:rFonts w:hint="eastAsia" w:ascii="宋体" w:hAnsi="宋体" w:eastAsia="宋体" w:cs="宋体"/>
          <w:color w:val="FF0000"/>
          <w:sz w:val="21"/>
          <w:szCs w:val="21"/>
        </w:rPr>
      </w:pPr>
      <w:r>
        <w:rPr>
          <w:rFonts w:hint="eastAsia" w:ascii="宋体" w:hAnsi="宋体" w:eastAsia="宋体" w:cs="宋体"/>
          <w:color w:val="FF0000"/>
          <w:sz w:val="21"/>
          <w:szCs w:val="21"/>
        </w:rPr>
        <w:t>投标方报价应包含：</w:t>
      </w:r>
      <w:r>
        <w:rPr>
          <w:rFonts w:hint="eastAsia" w:ascii="宋体" w:hAnsi="宋体" w:cs="宋体"/>
          <w:color w:val="FF0000"/>
          <w:sz w:val="21"/>
          <w:szCs w:val="21"/>
          <w:lang w:val="en-US" w:eastAsia="zh-CN"/>
        </w:rPr>
        <w:t>设备、材料、人工等</w:t>
      </w:r>
      <w:r>
        <w:rPr>
          <w:rFonts w:hint="eastAsia" w:ascii="宋体" w:hAnsi="宋体" w:eastAsia="宋体" w:cs="宋体"/>
          <w:color w:val="FF0000"/>
          <w:sz w:val="21"/>
          <w:szCs w:val="21"/>
        </w:rPr>
        <w:t>；设备质保期经验收调试合格后</w:t>
      </w:r>
      <w:r>
        <w:rPr>
          <w:rFonts w:hint="eastAsia" w:ascii="宋体" w:hAnsi="宋体" w:cs="宋体"/>
          <w:color w:val="FF0000"/>
          <w:sz w:val="21"/>
          <w:szCs w:val="21"/>
          <w:lang w:val="en-US" w:eastAsia="zh-CN"/>
        </w:rPr>
        <w:t>5</w:t>
      </w:r>
      <w:r>
        <w:rPr>
          <w:rFonts w:hint="eastAsia" w:ascii="宋体" w:hAnsi="宋体" w:eastAsia="宋体" w:cs="宋体"/>
          <w:color w:val="FF0000"/>
          <w:sz w:val="21"/>
          <w:szCs w:val="21"/>
        </w:rPr>
        <w:t>年。</w:t>
      </w:r>
    </w:p>
    <w:p w14:paraId="528B0E31">
      <w:pPr>
        <w:spacing w:line="400" w:lineRule="exact"/>
        <w:ind w:left="561" w:leftChars="267"/>
        <w:rPr>
          <w:rFonts w:hint="eastAsia" w:ascii="宋体" w:hAnsi="宋体" w:eastAsia="宋体" w:cs="宋体"/>
          <w:b/>
          <w:bCs/>
          <w:color w:val="FF0000"/>
          <w:sz w:val="21"/>
          <w:szCs w:val="21"/>
        </w:rPr>
      </w:pPr>
      <w:r>
        <w:rPr>
          <w:rFonts w:hint="eastAsia" w:ascii="宋体" w:hAnsi="宋体" w:eastAsia="宋体" w:cs="宋体"/>
          <w:color w:val="FF0000"/>
          <w:sz w:val="21"/>
          <w:szCs w:val="21"/>
        </w:rPr>
        <w:t>付款方式为：</w:t>
      </w:r>
      <w:r>
        <w:rPr>
          <w:rFonts w:hint="eastAsia" w:ascii="宋体" w:hAnsi="宋体" w:eastAsia="宋体" w:cs="宋体"/>
          <w:color w:val="FF0000"/>
          <w:sz w:val="21"/>
          <w:szCs w:val="21"/>
          <w:u w:val="single"/>
          <w:lang w:val="en-US" w:eastAsia="zh-CN"/>
        </w:rPr>
        <w:t>预付10%，发货40%，验收40%，质保1年10%</w:t>
      </w:r>
      <w:r>
        <w:rPr>
          <w:rFonts w:hint="eastAsia" w:ascii="宋体" w:hAnsi="宋体" w:eastAsia="宋体" w:cs="宋体"/>
          <w:color w:val="FF0000"/>
          <w:sz w:val="21"/>
          <w:szCs w:val="21"/>
          <w:u w:val="double"/>
        </w:rPr>
        <w:t>。</w:t>
      </w:r>
      <w:r>
        <w:rPr>
          <w:rFonts w:hint="eastAsia" w:ascii="宋体" w:hAnsi="宋体" w:eastAsia="宋体" w:cs="宋体"/>
          <w:b/>
          <w:bCs/>
          <w:color w:val="FF0000"/>
          <w:sz w:val="21"/>
          <w:szCs w:val="21"/>
          <w:lang w:eastAsia="zh-CN"/>
        </w:rPr>
        <w:t>（</w:t>
      </w:r>
      <w:r>
        <w:rPr>
          <w:rFonts w:hint="eastAsia" w:ascii="宋体" w:hAnsi="宋体" w:eastAsia="宋体" w:cs="宋体"/>
          <w:b/>
          <w:bCs/>
          <w:color w:val="FF0000"/>
          <w:sz w:val="21"/>
          <w:szCs w:val="21"/>
        </w:rPr>
        <w:t>涉及不同付款方式，可在报价书内做商务偏离说明</w:t>
      </w:r>
      <w:r>
        <w:rPr>
          <w:rFonts w:hint="eastAsia" w:ascii="宋体" w:hAnsi="宋体" w:eastAsia="宋体" w:cs="宋体"/>
          <w:b/>
          <w:bCs/>
          <w:color w:val="FF0000"/>
          <w:sz w:val="21"/>
          <w:szCs w:val="21"/>
          <w:lang w:eastAsia="zh-CN"/>
        </w:rPr>
        <w:t>）</w:t>
      </w:r>
      <w:r>
        <w:rPr>
          <w:rFonts w:hint="eastAsia" w:ascii="宋体" w:hAnsi="宋体" w:eastAsia="宋体" w:cs="宋体"/>
          <w:b/>
          <w:bCs/>
          <w:color w:val="FF0000"/>
          <w:sz w:val="21"/>
          <w:szCs w:val="21"/>
        </w:rPr>
        <w:t>。</w:t>
      </w:r>
    </w:p>
    <w:p w14:paraId="7C4F2B6E">
      <w:pPr>
        <w:spacing w:line="400" w:lineRule="exact"/>
        <w:rPr>
          <w:rFonts w:hint="eastAsia"/>
          <w:b/>
          <w:bCs/>
          <w:color w:val="000000"/>
          <w:sz w:val="24"/>
        </w:rPr>
      </w:pPr>
    </w:p>
    <w:p w14:paraId="4386C449">
      <w:pPr>
        <w:spacing w:line="420" w:lineRule="exact"/>
        <w:ind w:leftChars="-67" w:hanging="141" w:hangingChars="67"/>
        <w:jc w:val="left"/>
        <w:rPr>
          <w:rFonts w:ascii="等线" w:hAnsi="等线" w:eastAsia="等线"/>
          <w:b/>
          <w:bCs/>
          <w:color w:val="0070C0"/>
          <w:szCs w:val="21"/>
        </w:rPr>
      </w:pPr>
      <w:r>
        <w:rPr>
          <w:rFonts w:hint="eastAsia" w:ascii="等线" w:hAnsi="等线" w:eastAsia="等线"/>
          <w:b/>
          <w:bCs/>
          <w:color w:val="0070C0"/>
          <w:szCs w:val="21"/>
          <w:lang w:val="en-US" w:eastAsia="zh-CN"/>
        </w:rPr>
        <w:t>十三</w:t>
      </w:r>
      <w:r>
        <w:rPr>
          <w:rFonts w:hint="eastAsia" w:ascii="等线" w:hAnsi="等线" w:eastAsia="等线"/>
          <w:b/>
          <w:bCs/>
          <w:color w:val="0070C0"/>
          <w:szCs w:val="21"/>
        </w:rPr>
        <w:t>、 投标商需提供投标文件的内容</w:t>
      </w:r>
    </w:p>
    <w:p w14:paraId="42CD0366">
      <w:pPr>
        <w:widowControl/>
        <w:spacing w:before="156" w:beforeLines="50" w:line="400" w:lineRule="exact"/>
        <w:jc w:val="left"/>
        <w:rPr>
          <w:rFonts w:hint="eastAsia" w:ascii="宋体" w:hAnsi="宋体" w:eastAsia="宋体" w:cs="宋体"/>
          <w:sz w:val="21"/>
          <w:szCs w:val="21"/>
        </w:rPr>
      </w:pPr>
      <w:r>
        <w:rPr>
          <w:rFonts w:hint="eastAsia" w:ascii="宋体" w:hAnsi="宋体" w:eastAsia="宋体" w:cs="宋体"/>
          <w:sz w:val="21"/>
          <w:szCs w:val="21"/>
        </w:rPr>
        <w:t>1、企业资质文件</w:t>
      </w:r>
    </w:p>
    <w:p w14:paraId="576D3ADF">
      <w:pPr>
        <w:spacing w:line="400" w:lineRule="exact"/>
        <w:ind w:left="561" w:leftChars="267"/>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提供：公司介绍文本、营业执照（三证合一）、银行开户许可证、法人授权委托书、投标对接人身份证复印件（务必备注联系方式）、财务审计报告、质量管理体系认证证书、行业/生产资质证书；报价公司对本次项目的专项授权及承诺书等有效资质证明（如：代理证书等）；最近3-5年内同类设备/系统的销售业绩表，用户名称、时间、联系方式及用户意见等。 </w:t>
      </w:r>
    </w:p>
    <w:p w14:paraId="7D10DC39">
      <w:pPr>
        <w:spacing w:line="400" w:lineRule="exact"/>
        <w:rPr>
          <w:rFonts w:hint="eastAsia" w:ascii="宋体" w:hAnsi="宋体" w:eastAsia="宋体" w:cs="宋体"/>
          <w:sz w:val="21"/>
          <w:szCs w:val="21"/>
        </w:rPr>
      </w:pPr>
      <w:r>
        <w:rPr>
          <w:rFonts w:hint="eastAsia" w:ascii="宋体" w:hAnsi="宋体" w:eastAsia="宋体" w:cs="宋体"/>
          <w:sz w:val="21"/>
          <w:szCs w:val="21"/>
        </w:rPr>
        <w:t>2、技术文件：</w:t>
      </w:r>
    </w:p>
    <w:p w14:paraId="416F611C">
      <w:pPr>
        <w:spacing w:line="400" w:lineRule="exact"/>
        <w:ind w:left="414" w:leftChars="197"/>
        <w:rPr>
          <w:rFonts w:hint="eastAsia" w:ascii="宋体" w:hAnsi="宋体" w:eastAsia="宋体" w:cs="宋体"/>
          <w:sz w:val="21"/>
          <w:szCs w:val="21"/>
        </w:rPr>
      </w:pPr>
      <w:r>
        <w:rPr>
          <w:rFonts w:hint="eastAsia" w:ascii="宋体" w:hAnsi="宋体" w:eastAsia="宋体" w:cs="宋体"/>
          <w:sz w:val="21"/>
          <w:szCs w:val="21"/>
        </w:rPr>
        <w:t>1、投标设备的制造标准；投标设备的技术规范书按招标设备的技术要求应详细说明设备配置、产商、核心配件/组件品牌和设备各部分性能特点，技术参数，外形图，部件的结构、材料，电控系统说明，随机备件清单，随机技术资料目录，技术服务承诺，质量保证承诺等</w:t>
      </w:r>
    </w:p>
    <w:p w14:paraId="213251D8">
      <w:pPr>
        <w:spacing w:line="400" w:lineRule="exact"/>
        <w:ind w:left="414" w:leftChars="197"/>
        <w:rPr>
          <w:rFonts w:hint="eastAsia" w:ascii="宋体" w:hAnsi="宋体" w:eastAsia="宋体" w:cs="宋体"/>
          <w:sz w:val="21"/>
          <w:szCs w:val="21"/>
        </w:rPr>
      </w:pPr>
      <w:r>
        <w:rPr>
          <w:rFonts w:hint="eastAsia" w:ascii="宋体" w:hAnsi="宋体" w:eastAsia="宋体" w:cs="宋体"/>
          <w:sz w:val="21"/>
          <w:szCs w:val="21"/>
        </w:rPr>
        <w:t>2、根据我司技术要求及后期技术答疑内容，明确所报材料：名称+材质+规格型号+数量等核心信息</w:t>
      </w:r>
    </w:p>
    <w:p w14:paraId="40C75B25">
      <w:pPr>
        <w:spacing w:line="400" w:lineRule="exact"/>
        <w:rPr>
          <w:rFonts w:hint="eastAsia" w:ascii="宋体" w:hAnsi="宋体" w:eastAsia="宋体" w:cs="宋体"/>
          <w:sz w:val="21"/>
          <w:szCs w:val="21"/>
        </w:rPr>
      </w:pPr>
      <w:r>
        <w:rPr>
          <w:rFonts w:hint="eastAsia" w:ascii="宋体" w:hAnsi="宋体" w:eastAsia="宋体" w:cs="宋体"/>
          <w:sz w:val="21"/>
          <w:szCs w:val="21"/>
        </w:rPr>
        <w:t>3、商务文件：</w:t>
      </w:r>
    </w:p>
    <w:p w14:paraId="4A9AA842">
      <w:pPr>
        <w:spacing w:line="400" w:lineRule="exact"/>
        <w:ind w:left="420" w:leftChars="200"/>
        <w:rPr>
          <w:rFonts w:hint="eastAsia" w:ascii="宋体" w:hAnsi="宋体" w:eastAsia="宋体" w:cs="宋体"/>
          <w:sz w:val="21"/>
          <w:szCs w:val="21"/>
        </w:rPr>
      </w:pPr>
      <w:r>
        <w:rPr>
          <w:rFonts w:hint="eastAsia" w:ascii="宋体" w:hAnsi="宋体" w:eastAsia="宋体" w:cs="宋体"/>
          <w:sz w:val="21"/>
          <w:szCs w:val="21"/>
        </w:rPr>
        <w:t>投标设备的响应交货期；投标设备各组成部份（分项报价明细）、设备常用备品备件（明确品牌型号后分项报价）、；付款方式确认（明确付款比例+电汇/银承等）。</w:t>
      </w:r>
    </w:p>
    <w:p w14:paraId="4B0E722E">
      <w:pPr>
        <w:widowControl/>
        <w:spacing w:before="156" w:beforeLines="50" w:line="400" w:lineRule="exact"/>
        <w:ind w:left="360" w:hanging="315" w:hangingChars="150"/>
        <w:jc w:val="left"/>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color w:val="FF0000"/>
          <w:sz w:val="21"/>
          <w:szCs w:val="21"/>
        </w:rPr>
        <w:t>、</w:t>
      </w:r>
      <w:r>
        <w:rPr>
          <w:rFonts w:hint="eastAsia" w:ascii="宋体" w:hAnsi="宋体" w:eastAsia="宋体" w:cs="宋体"/>
          <w:b/>
          <w:bCs/>
          <w:color w:val="FF0000"/>
          <w:sz w:val="21"/>
          <w:szCs w:val="21"/>
        </w:rPr>
        <w:t>投标书正本</w:t>
      </w:r>
      <w:r>
        <w:rPr>
          <w:rFonts w:hint="eastAsia" w:ascii="宋体" w:hAnsi="宋体" w:eastAsia="宋体" w:cs="宋体"/>
          <w:b/>
          <w:bCs/>
          <w:color w:val="FF0000"/>
          <w:sz w:val="21"/>
          <w:szCs w:val="21"/>
          <w:lang w:val="en-US" w:eastAsia="zh-CN"/>
        </w:rPr>
        <w:t>一</w:t>
      </w:r>
      <w:r>
        <w:rPr>
          <w:rFonts w:hint="eastAsia" w:ascii="宋体" w:hAnsi="宋体" w:eastAsia="宋体" w:cs="宋体"/>
          <w:b/>
          <w:bCs/>
          <w:color w:val="FF0000"/>
          <w:sz w:val="21"/>
          <w:szCs w:val="21"/>
        </w:rPr>
        <w:t>份，副本</w:t>
      </w:r>
      <w:r>
        <w:rPr>
          <w:rFonts w:hint="eastAsia" w:ascii="宋体" w:hAnsi="宋体" w:eastAsia="宋体" w:cs="宋体"/>
          <w:b/>
          <w:bCs/>
          <w:color w:val="FF0000"/>
          <w:sz w:val="21"/>
          <w:szCs w:val="21"/>
          <w:lang w:val="en-US" w:eastAsia="zh-CN"/>
        </w:rPr>
        <w:t>一</w:t>
      </w:r>
      <w:r>
        <w:rPr>
          <w:rFonts w:hint="eastAsia" w:ascii="宋体" w:hAnsi="宋体" w:eastAsia="宋体" w:cs="宋体"/>
          <w:b/>
          <w:bCs/>
          <w:color w:val="FF0000"/>
          <w:sz w:val="21"/>
          <w:szCs w:val="21"/>
        </w:rPr>
        <w:t>份，投标文件须密封并在封口签字或加盖公章(需在快递外包袋上注明</w:t>
      </w:r>
      <w:r>
        <w:rPr>
          <w:rFonts w:hint="eastAsia" w:ascii="宋体" w:hAnsi="宋体" w:eastAsia="宋体" w:cs="宋体"/>
          <w:b/>
          <w:bCs/>
          <w:color w:val="FF0000"/>
          <w:sz w:val="21"/>
          <w:szCs w:val="21"/>
          <w:u w:val="double"/>
        </w:rPr>
        <w:t>公司简称+标书</w:t>
      </w:r>
      <w:r>
        <w:rPr>
          <w:rFonts w:hint="eastAsia" w:ascii="宋体" w:hAnsi="宋体" w:eastAsia="宋体" w:cs="宋体"/>
          <w:b/>
          <w:bCs/>
          <w:color w:val="FF0000"/>
          <w:sz w:val="21"/>
          <w:szCs w:val="21"/>
        </w:rPr>
        <w:t>字样)。</w:t>
      </w:r>
    </w:p>
    <w:p w14:paraId="2DD36C34">
      <w:pPr>
        <w:widowControl/>
        <w:spacing w:before="156" w:beforeLines="50" w:line="400" w:lineRule="exact"/>
        <w:jc w:val="left"/>
        <w:rPr>
          <w:rFonts w:hint="eastAsia" w:ascii="宋体" w:hAnsi="宋体" w:eastAsia="宋体" w:cs="宋体"/>
          <w:sz w:val="21"/>
          <w:szCs w:val="21"/>
        </w:rPr>
      </w:pPr>
      <w:r>
        <w:rPr>
          <w:rFonts w:hint="eastAsia" w:ascii="宋体" w:hAnsi="宋体" w:eastAsia="宋体" w:cs="宋体"/>
          <w:sz w:val="21"/>
          <w:szCs w:val="21"/>
        </w:rPr>
        <w:t>注：商务标书与技术标分开装订，可并包快递或送达（商务报价独立密封+商务标书独立密封+技术标书独立密封=并包快递/送达）</w:t>
      </w:r>
    </w:p>
    <w:p w14:paraId="22DF18BF">
      <w:pPr>
        <w:widowControl/>
        <w:spacing w:before="156" w:beforeLines="50" w:line="400" w:lineRule="exact"/>
        <w:jc w:val="left"/>
        <w:rPr>
          <w:rFonts w:hint="eastAsia" w:ascii="宋体" w:hAnsi="宋体" w:eastAsia="宋体" w:cs="宋体"/>
          <w:sz w:val="21"/>
          <w:szCs w:val="21"/>
        </w:rPr>
      </w:pPr>
    </w:p>
    <w:p w14:paraId="5839A8B0">
      <w:pPr>
        <w:spacing w:line="420" w:lineRule="exact"/>
        <w:ind w:leftChars="-67" w:hanging="141" w:hangingChars="67"/>
        <w:jc w:val="left"/>
        <w:rPr>
          <w:rFonts w:ascii="等线" w:hAnsi="等线" w:eastAsia="等线"/>
          <w:b/>
          <w:bCs/>
          <w:color w:val="0070C0"/>
          <w:szCs w:val="21"/>
        </w:rPr>
      </w:pPr>
      <w:r>
        <w:rPr>
          <w:rFonts w:hint="eastAsia" w:ascii="等线" w:hAnsi="等线" w:eastAsia="等线"/>
          <w:b/>
          <w:bCs/>
          <w:color w:val="0070C0"/>
          <w:szCs w:val="21"/>
          <w:lang w:val="en-US" w:eastAsia="zh-CN"/>
        </w:rPr>
        <w:t>十一</w:t>
      </w:r>
      <w:r>
        <w:rPr>
          <w:rFonts w:hint="eastAsia" w:ascii="等线" w:hAnsi="等线" w:eastAsia="等线"/>
          <w:b/>
          <w:bCs/>
          <w:color w:val="0070C0"/>
          <w:szCs w:val="21"/>
        </w:rPr>
        <w:t>、投标方需要说明的其它事项：</w:t>
      </w:r>
    </w:p>
    <w:p w14:paraId="7184F521">
      <w:pPr>
        <w:spacing w:line="400" w:lineRule="exact"/>
        <w:ind w:left="456" w:leftChars="67" w:hanging="315" w:hangingChars="150"/>
        <w:rPr>
          <w:rFonts w:hint="eastAsia" w:ascii="宋体" w:hAnsi="宋体" w:eastAsia="宋体" w:cs="宋体"/>
          <w:sz w:val="21"/>
          <w:szCs w:val="21"/>
        </w:rPr>
      </w:pPr>
      <w:r>
        <w:rPr>
          <w:rFonts w:hint="eastAsia" w:ascii="宋体" w:hAnsi="宋体" w:eastAsia="宋体" w:cs="宋体"/>
          <w:sz w:val="21"/>
          <w:szCs w:val="21"/>
        </w:rPr>
        <w:t>1、本标书仅提供了招标设备的基本参数及要求，投标方不能因招标书的限定而免除对投标设备应满足招标方其它要求应承担的责任。</w:t>
      </w:r>
    </w:p>
    <w:p w14:paraId="26CEB18B">
      <w:pPr>
        <w:spacing w:line="400" w:lineRule="exact"/>
        <w:ind w:firstLine="105" w:firstLineChars="50"/>
        <w:rPr>
          <w:rFonts w:hint="eastAsia" w:ascii="宋体" w:hAnsi="宋体" w:eastAsia="宋体" w:cs="宋体"/>
          <w:sz w:val="21"/>
          <w:szCs w:val="21"/>
        </w:rPr>
      </w:pPr>
      <w:r>
        <w:rPr>
          <w:rFonts w:hint="eastAsia" w:ascii="宋体" w:hAnsi="宋体" w:eastAsia="宋体" w:cs="宋体"/>
          <w:sz w:val="21"/>
          <w:szCs w:val="21"/>
        </w:rPr>
        <w:t>2、招标方在合同签定之前有权对设备采购数量和性能参数进行调整。</w:t>
      </w:r>
    </w:p>
    <w:p w14:paraId="447B23BB">
      <w:pPr>
        <w:spacing w:line="400" w:lineRule="exact"/>
        <w:ind w:left="456" w:leftChars="67" w:hanging="315" w:hangingChars="15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color w:val="FF0000"/>
          <w:sz w:val="21"/>
          <w:szCs w:val="21"/>
        </w:rPr>
        <w:t>本次招标项目截止时间为</w:t>
      </w:r>
      <w:r>
        <w:rPr>
          <w:rFonts w:hint="eastAsia" w:ascii="宋体" w:hAnsi="宋体" w:eastAsia="宋体" w:cs="宋体"/>
          <w:color w:val="FF0000"/>
          <w:sz w:val="21"/>
          <w:szCs w:val="21"/>
          <w:u w:val="single"/>
        </w:rPr>
        <w:t>202</w:t>
      </w:r>
      <w:r>
        <w:rPr>
          <w:rFonts w:hint="eastAsia" w:ascii="宋体" w:hAnsi="宋体" w:cs="宋体"/>
          <w:color w:val="FF0000"/>
          <w:sz w:val="21"/>
          <w:szCs w:val="21"/>
          <w:u w:val="single"/>
          <w:lang w:val="en-US" w:eastAsia="zh-CN"/>
        </w:rPr>
        <w:t>6</w:t>
      </w:r>
      <w:r>
        <w:rPr>
          <w:rFonts w:hint="eastAsia" w:ascii="宋体" w:hAnsi="宋体" w:eastAsia="宋体" w:cs="宋体"/>
          <w:color w:val="FF0000"/>
          <w:sz w:val="21"/>
          <w:szCs w:val="21"/>
          <w:u w:val="single"/>
        </w:rPr>
        <w:t>年</w:t>
      </w:r>
      <w:r>
        <w:rPr>
          <w:rFonts w:hint="eastAsia" w:ascii="宋体" w:hAnsi="宋体" w:cs="宋体"/>
          <w:color w:val="FF0000"/>
          <w:sz w:val="21"/>
          <w:szCs w:val="21"/>
          <w:u w:val="single"/>
          <w:lang w:val="en-US" w:eastAsia="zh-CN"/>
        </w:rPr>
        <w:t>8</w:t>
      </w:r>
      <w:r>
        <w:rPr>
          <w:rFonts w:hint="eastAsia" w:ascii="宋体" w:hAnsi="宋体" w:eastAsia="宋体" w:cs="宋体"/>
          <w:color w:val="FF0000"/>
          <w:sz w:val="21"/>
          <w:szCs w:val="21"/>
          <w:u w:val="single"/>
        </w:rPr>
        <w:t>月</w:t>
      </w:r>
      <w:r>
        <w:rPr>
          <w:rFonts w:hint="eastAsia" w:ascii="宋体" w:hAnsi="宋体" w:cs="宋体"/>
          <w:color w:val="FF0000"/>
          <w:sz w:val="21"/>
          <w:szCs w:val="21"/>
          <w:u w:val="single"/>
          <w:lang w:val="en-US" w:eastAsia="zh-CN"/>
        </w:rPr>
        <w:t>13</w:t>
      </w:r>
      <w:r>
        <w:rPr>
          <w:rFonts w:hint="eastAsia" w:ascii="宋体" w:hAnsi="宋体" w:eastAsia="宋体" w:cs="宋体"/>
          <w:color w:val="FF0000"/>
          <w:sz w:val="21"/>
          <w:szCs w:val="21"/>
          <w:u w:val="single"/>
        </w:rPr>
        <w:t>日17:00</w:t>
      </w:r>
      <w:r>
        <w:rPr>
          <w:rFonts w:hint="eastAsia" w:ascii="宋体" w:hAnsi="宋体" w:eastAsia="宋体" w:cs="宋体"/>
          <w:color w:val="FF0000"/>
          <w:sz w:val="21"/>
          <w:szCs w:val="21"/>
        </w:rPr>
        <w:t>时,投标方将投标书以快件形式寄送/送达招标方</w:t>
      </w:r>
      <w:r>
        <w:rPr>
          <w:rFonts w:hint="eastAsia" w:ascii="宋体" w:hAnsi="宋体" w:eastAsia="宋体" w:cs="宋体"/>
          <w:sz w:val="21"/>
          <w:szCs w:val="21"/>
        </w:rPr>
        <w:t xml:space="preserve">。   </w:t>
      </w:r>
    </w:p>
    <w:p w14:paraId="7F74A6E3">
      <w:pPr>
        <w:spacing w:line="400" w:lineRule="exact"/>
        <w:ind w:firstLine="105" w:firstLineChars="50"/>
        <w:rPr>
          <w:rFonts w:hint="eastAsia" w:ascii="宋体" w:hAnsi="宋体" w:eastAsia="宋体" w:cs="宋体"/>
          <w:sz w:val="21"/>
          <w:szCs w:val="21"/>
        </w:rPr>
      </w:pPr>
      <w:r>
        <w:rPr>
          <w:rFonts w:hint="eastAsia" w:ascii="宋体" w:hAnsi="宋体" w:eastAsia="宋体" w:cs="宋体"/>
          <w:sz w:val="21"/>
          <w:szCs w:val="21"/>
        </w:rPr>
        <w:t xml:space="preserve">4、本次招标开标时不邀请投标方派员参加。 </w:t>
      </w:r>
    </w:p>
    <w:p w14:paraId="237AA4A5">
      <w:pPr>
        <w:spacing w:line="400" w:lineRule="exact"/>
        <w:ind w:left="456" w:leftChars="67" w:hanging="315" w:hangingChars="150"/>
        <w:rPr>
          <w:rFonts w:hint="eastAsia" w:ascii="宋体" w:hAnsi="宋体" w:eastAsia="宋体" w:cs="宋体"/>
          <w:sz w:val="21"/>
          <w:szCs w:val="21"/>
        </w:rPr>
      </w:pPr>
      <w:r>
        <w:rPr>
          <w:rFonts w:hint="eastAsia" w:ascii="宋体" w:hAnsi="宋体" w:eastAsia="宋体" w:cs="宋体"/>
          <w:sz w:val="21"/>
          <w:szCs w:val="21"/>
        </w:rPr>
        <w:t>5、届时由招标方邀请有关方面专家对标书进行评审，根据评审情况通知投标方对投标设备标书内容作进一步交流澄清，投标方就相关问题作书面承诺。</w:t>
      </w:r>
    </w:p>
    <w:p w14:paraId="2FBE28CA">
      <w:pPr>
        <w:spacing w:line="400" w:lineRule="exact"/>
        <w:ind w:left="456" w:leftChars="67" w:hanging="315" w:hangingChars="150"/>
        <w:rPr>
          <w:rFonts w:hint="eastAsia" w:ascii="宋体" w:hAnsi="宋体" w:eastAsia="宋体" w:cs="宋体"/>
          <w:sz w:val="21"/>
          <w:szCs w:val="21"/>
        </w:rPr>
      </w:pPr>
      <w:r>
        <w:rPr>
          <w:rFonts w:hint="eastAsia" w:ascii="宋体" w:hAnsi="宋体" w:eastAsia="宋体" w:cs="宋体"/>
          <w:sz w:val="21"/>
          <w:szCs w:val="21"/>
        </w:rPr>
        <w:t>6、招标方依据评审和答疑结果确定中标单位，并通知中标单位签订合同、技术协议等文件，对未中标单位招标方不作解释。</w:t>
      </w:r>
    </w:p>
    <w:p w14:paraId="7D3BC3F5">
      <w:pPr>
        <w:spacing w:line="400" w:lineRule="exact"/>
        <w:ind w:left="501" w:leftChars="67" w:hanging="360" w:hangingChars="150"/>
        <w:rPr>
          <w:rFonts w:hint="eastAsia"/>
          <w:sz w:val="24"/>
          <w:lang w:val="en-US" w:eastAsia="zh-CN"/>
        </w:rPr>
      </w:pPr>
    </w:p>
    <w:p w14:paraId="2D308010">
      <w:pPr>
        <w:spacing w:line="420" w:lineRule="exact"/>
        <w:ind w:leftChars="-67" w:hanging="141" w:hangingChars="67"/>
        <w:jc w:val="left"/>
        <w:rPr>
          <w:rFonts w:hint="eastAsia" w:ascii="等线" w:hAnsi="等线" w:eastAsia="等线"/>
          <w:b/>
          <w:bCs/>
          <w:color w:val="0070C0"/>
          <w:szCs w:val="21"/>
        </w:rPr>
      </w:pPr>
      <w:r>
        <w:rPr>
          <w:rFonts w:hint="eastAsia" w:ascii="等线" w:hAnsi="等线" w:eastAsia="等线"/>
          <w:b/>
          <w:bCs/>
          <w:color w:val="0070C0"/>
          <w:szCs w:val="21"/>
          <w:lang w:val="en-US" w:eastAsia="zh-CN"/>
        </w:rPr>
        <w:t>十二</w:t>
      </w:r>
      <w:r>
        <w:rPr>
          <w:rFonts w:hint="eastAsia" w:ascii="等线" w:hAnsi="等线" w:eastAsia="等线"/>
          <w:b/>
          <w:bCs/>
          <w:color w:val="0070C0"/>
          <w:szCs w:val="21"/>
        </w:rPr>
        <w:t>、 标书接收形式及方式</w:t>
      </w:r>
    </w:p>
    <w:p w14:paraId="75341061">
      <w:pPr>
        <w:spacing w:line="400" w:lineRule="exact"/>
        <w:ind w:left="501" w:leftChars="67" w:hanging="360" w:hangingChars="150"/>
        <w:rPr>
          <w:sz w:val="24"/>
        </w:rPr>
      </w:pPr>
    </w:p>
    <w:p w14:paraId="200EC298">
      <w:pPr>
        <w:ind w:firstLine="210" w:firstLineChars="100"/>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标书接收人：</w:t>
      </w:r>
      <w:r>
        <w:rPr>
          <w:rFonts w:hint="eastAsia" w:ascii="宋体" w:hAnsi="宋体" w:cs="宋体"/>
          <w:sz w:val="21"/>
          <w:szCs w:val="21"/>
          <w:lang w:val="en-US" w:eastAsia="zh-CN"/>
        </w:rPr>
        <w:t>徐云飞</w:t>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18861775801</w:t>
      </w:r>
      <w:r>
        <w:rPr>
          <w:rFonts w:hint="eastAsia" w:ascii="宋体" w:hAnsi="宋体" w:eastAsia="宋体" w:cs="宋体"/>
          <w:sz w:val="21"/>
          <w:szCs w:val="21"/>
        </w:rPr>
        <w:t xml:space="preserve">    </w:t>
      </w:r>
    </w:p>
    <w:p w14:paraId="003C0824">
      <w:pPr>
        <w:rPr>
          <w:rFonts w:hint="eastAsia" w:ascii="宋体" w:hAnsi="宋体" w:eastAsia="宋体" w:cs="宋体"/>
          <w:sz w:val="21"/>
          <w:szCs w:val="21"/>
        </w:rPr>
      </w:pPr>
    </w:p>
    <w:p w14:paraId="3D80E63B">
      <w:pPr>
        <w:numPr>
          <w:ilvl w:val="0"/>
          <w:numId w:val="15"/>
        </w:numPr>
        <w:ind w:firstLine="210" w:firstLineChars="100"/>
        <w:rPr>
          <w:rFonts w:hint="eastAsia" w:ascii="宋体" w:hAnsi="宋体" w:eastAsia="宋体" w:cs="宋体"/>
          <w:sz w:val="21"/>
          <w:szCs w:val="21"/>
          <w:lang w:val="en-US" w:eastAsia="zh-CN"/>
        </w:rPr>
      </w:pPr>
      <w:r>
        <w:rPr>
          <w:rFonts w:hint="eastAsia" w:ascii="宋体" w:hAnsi="宋体" w:eastAsia="宋体" w:cs="宋体"/>
          <w:sz w:val="21"/>
          <w:szCs w:val="21"/>
        </w:rPr>
        <w:t>技术答疑人：</w:t>
      </w:r>
      <w:r>
        <w:rPr>
          <w:rFonts w:hint="eastAsia" w:ascii="宋体" w:hAnsi="宋体" w:eastAsia="宋体" w:cs="宋体"/>
          <w:sz w:val="21"/>
          <w:szCs w:val="21"/>
          <w:lang w:val="en-US" w:eastAsia="zh-CN"/>
        </w:rPr>
        <w:t xml:space="preserve">田贺鹏  </w:t>
      </w:r>
      <w:r>
        <w:rPr>
          <w:rFonts w:hint="eastAsia" w:ascii="宋体" w:hAnsi="宋体" w:cs="宋体"/>
          <w:sz w:val="21"/>
          <w:szCs w:val="21"/>
          <w:lang w:val="en-US" w:eastAsia="zh-CN"/>
        </w:rPr>
        <w:t xml:space="preserve"> </w:t>
      </w:r>
      <w:r>
        <w:rPr>
          <w:rFonts w:hint="eastAsia" w:ascii="宋体" w:hAnsi="宋体" w:eastAsia="宋体" w:cs="宋体"/>
          <w:sz w:val="21"/>
          <w:szCs w:val="21"/>
          <w:lang w:val="en-US" w:eastAsia="zh-CN"/>
        </w:rPr>
        <w:t xml:space="preserve">18861776891   </w:t>
      </w:r>
    </w:p>
    <w:p w14:paraId="3678927E">
      <w:pPr>
        <w:numPr>
          <w:ilvl w:val="0"/>
          <w:numId w:val="0"/>
        </w:numPr>
        <w:rPr>
          <w:rFonts w:hint="eastAsia" w:ascii="宋体" w:hAnsi="宋体" w:eastAsia="宋体" w:cs="宋体"/>
          <w:sz w:val="21"/>
          <w:szCs w:val="21"/>
        </w:rPr>
      </w:pPr>
      <w:r>
        <w:rPr>
          <w:rFonts w:hint="eastAsia" w:ascii="宋体" w:hAnsi="宋体" w:eastAsia="宋体" w:cs="宋体"/>
          <w:sz w:val="21"/>
          <w:szCs w:val="21"/>
        </w:rPr>
        <w:t xml:space="preserve">  </w:t>
      </w:r>
    </w:p>
    <w:p w14:paraId="23B39022">
      <w:pPr>
        <w:ind w:firstLine="210" w:firstLineChars="10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w:t>
      </w:r>
      <w:r>
        <w:rPr>
          <w:rFonts w:hint="eastAsia" w:ascii="宋体" w:hAnsi="宋体" w:eastAsia="宋体" w:cs="宋体"/>
          <w:sz w:val="21"/>
          <w:szCs w:val="21"/>
        </w:rPr>
        <w:t>标书接收地址：</w:t>
      </w:r>
      <w:r>
        <w:rPr>
          <w:rFonts w:hint="eastAsia" w:ascii="宋体" w:hAnsi="宋体" w:cs="宋体"/>
          <w:sz w:val="21"/>
          <w:szCs w:val="21"/>
          <w:lang w:val="en-US" w:eastAsia="zh-CN"/>
        </w:rPr>
        <w:t>江苏省南通市如东县长沙镇远东海缆有限公司科技楼308室</w:t>
      </w:r>
    </w:p>
    <w:p w14:paraId="1E67E415">
      <w:pPr>
        <w:spacing w:line="360" w:lineRule="exact"/>
        <w:ind w:left="480" w:hanging="480" w:hangingChars="200"/>
        <w:rPr>
          <w:color w:val="0000FF"/>
          <w:sz w:val="24"/>
          <w:u w:val="single"/>
        </w:rPr>
      </w:pPr>
    </w:p>
    <w:p w14:paraId="76B22513">
      <w:pPr>
        <w:spacing w:line="360" w:lineRule="auto"/>
        <w:jc w:val="center"/>
        <w:rPr>
          <w:sz w:val="24"/>
        </w:rPr>
      </w:pPr>
    </w:p>
    <w:sectPr>
      <w:footerReference r:id="rId3" w:type="default"/>
      <w:pgSz w:w="11906" w:h="16838"/>
      <w:pgMar w:top="1418" w:right="1133" w:bottom="1135" w:left="900" w:header="851" w:footer="50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Verdana">
    <w:panose1 w:val="020B0604030504040204"/>
    <w:charset w:val="00"/>
    <w:family w:val="auto"/>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舒体">
    <w:panose1 w:val="02010601030101010101"/>
    <w:charset w:val="86"/>
    <w:family w:val="auto"/>
    <w:pitch w:val="default"/>
    <w:sig w:usb0="00000003"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7CCC4">
    <w:pPr>
      <w:pStyle w:val="11"/>
      <w:jc w:val="center"/>
      <w:rPr>
        <w:rFonts w:ascii="宋体"/>
        <w:sz w:val="24"/>
        <w:szCs w:val="24"/>
      </w:rPr>
    </w:pPr>
    <w:r>
      <w:rPr>
        <w:rStyle w:val="20"/>
        <w:rFonts w:ascii="宋体" w:hAnsi="宋体"/>
        <w:sz w:val="24"/>
        <w:szCs w:val="24"/>
      </w:rPr>
      <w:fldChar w:fldCharType="begin"/>
    </w:r>
    <w:r>
      <w:rPr>
        <w:rStyle w:val="20"/>
        <w:rFonts w:ascii="宋体" w:hAnsi="宋体"/>
        <w:sz w:val="24"/>
        <w:szCs w:val="24"/>
      </w:rPr>
      <w:instrText xml:space="preserve"> PAGE </w:instrText>
    </w:r>
    <w:r>
      <w:rPr>
        <w:rStyle w:val="20"/>
        <w:rFonts w:ascii="宋体" w:hAnsi="宋体"/>
        <w:sz w:val="24"/>
        <w:szCs w:val="24"/>
      </w:rPr>
      <w:fldChar w:fldCharType="separate"/>
    </w:r>
    <w:r>
      <w:rPr>
        <w:rStyle w:val="20"/>
        <w:rFonts w:ascii="宋体" w:hAnsi="宋体"/>
        <w:sz w:val="24"/>
        <w:szCs w:val="24"/>
      </w:rPr>
      <w:t>4</w:t>
    </w:r>
    <w:r>
      <w:rPr>
        <w:rStyle w:val="20"/>
        <w:rFonts w:ascii="宋体" w:hAnsi="宋体"/>
        <w:sz w:val="24"/>
        <w:szCs w:val="24"/>
      </w:rPr>
      <w:fldChar w:fldCharType="end"/>
    </w:r>
    <w:r>
      <w:rPr>
        <w:rStyle w:val="20"/>
        <w:rFonts w:ascii="宋体" w:hAnsi="宋体"/>
        <w:sz w:val="24"/>
        <w:szCs w:val="24"/>
      </w:rPr>
      <w:t>/</w:t>
    </w:r>
    <w:r>
      <w:rPr>
        <w:rStyle w:val="20"/>
        <w:rFonts w:ascii="宋体" w:hAnsi="宋体"/>
        <w:sz w:val="24"/>
        <w:szCs w:val="24"/>
      </w:rPr>
      <w:fldChar w:fldCharType="begin"/>
    </w:r>
    <w:r>
      <w:rPr>
        <w:rStyle w:val="20"/>
        <w:rFonts w:ascii="宋体" w:hAnsi="宋体"/>
        <w:sz w:val="24"/>
        <w:szCs w:val="24"/>
      </w:rPr>
      <w:instrText xml:space="preserve"> NUMPAGES </w:instrText>
    </w:r>
    <w:r>
      <w:rPr>
        <w:rStyle w:val="20"/>
        <w:rFonts w:ascii="宋体" w:hAnsi="宋体"/>
        <w:sz w:val="24"/>
        <w:szCs w:val="24"/>
      </w:rPr>
      <w:fldChar w:fldCharType="separate"/>
    </w:r>
    <w:r>
      <w:rPr>
        <w:rStyle w:val="20"/>
        <w:rFonts w:ascii="宋体" w:hAnsi="宋体"/>
        <w:sz w:val="24"/>
        <w:szCs w:val="24"/>
      </w:rPr>
      <w:t>37</w:t>
    </w:r>
    <w:r>
      <w:rPr>
        <w:rStyle w:val="20"/>
        <w:rFonts w:ascii="宋体" w:hAnsi="宋体"/>
        <w:sz w:val="24"/>
        <w:szCs w:val="24"/>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FECE3E"/>
    <w:multiLevelType w:val="multilevel"/>
    <w:tmpl w:val="8FFECE3E"/>
    <w:lvl w:ilvl="0" w:tentative="0">
      <w:start w:val="1"/>
      <w:numFmt w:val="decimal"/>
      <w:lvlText w:val="%1"/>
      <w:lvlJc w:val="left"/>
      <w:pPr>
        <w:ind w:left="562" w:hanging="447"/>
      </w:pPr>
      <w:rPr>
        <w:rFonts w:hint="default" w:ascii="Times New Roman" w:hAnsi="Times New Roman" w:cs="Times New Roman"/>
      </w:rPr>
    </w:lvl>
    <w:lvl w:ilvl="1" w:tentative="0">
      <w:start w:val="1"/>
      <w:numFmt w:val="decimal"/>
      <w:lvlText w:val="5.4.1.%2"/>
      <w:lvlJc w:val="left"/>
      <w:pPr>
        <w:ind w:left="873" w:hanging="447"/>
      </w:pPr>
      <w:rPr>
        <w:rFonts w:hint="default" w:ascii="Times New Roman" w:hAnsi="Times New Roman" w:cs="Times New Roman"/>
        <w:sz w:val="22"/>
        <w:szCs w:val="22"/>
      </w:rPr>
    </w:lvl>
    <w:lvl w:ilvl="2" w:tentative="0">
      <w:start w:val="1"/>
      <w:numFmt w:val="decimal"/>
      <w:lvlText w:val="%3)"/>
      <w:lvlJc w:val="left"/>
      <w:pPr>
        <w:ind w:left="1119" w:hanging="716"/>
      </w:pPr>
      <w:rPr>
        <w:rFonts w:hint="default" w:ascii="Times New Roman" w:hAnsi="Times New Roman" w:cs="Times New Roman"/>
        <w:sz w:val="22"/>
        <w:szCs w:val="22"/>
      </w:rPr>
    </w:lvl>
    <w:lvl w:ilvl="3" w:tentative="0">
      <w:start w:val="1"/>
      <w:numFmt w:val="decimalEnclosedCircle"/>
      <w:lvlText w:val="%4"/>
      <w:lvlJc w:val="left"/>
      <w:pPr>
        <w:ind w:left="1398" w:hanging="360"/>
      </w:pPr>
      <w:rPr>
        <w:rFonts w:hint="eastAsia" w:ascii="宋体" w:hAnsi="宋体" w:eastAsia="宋体" w:cs="宋体"/>
        <w:spacing w:val="-1"/>
        <w:sz w:val="22"/>
        <w:szCs w:val="22"/>
      </w:rPr>
    </w:lvl>
    <w:lvl w:ilvl="4" w:tentative="0">
      <w:start w:val="0"/>
      <w:numFmt w:val="bullet"/>
      <w:lvlText w:val="•"/>
      <w:lvlJc w:val="left"/>
      <w:pPr>
        <w:ind w:left="3526" w:hanging="360"/>
      </w:pPr>
      <w:rPr>
        <w:rFonts w:hint="default" w:ascii="Times New Roman" w:hAnsi="Times New Roman" w:cs="Times New Roman"/>
      </w:rPr>
    </w:lvl>
    <w:lvl w:ilvl="5" w:tentative="0">
      <w:start w:val="0"/>
      <w:numFmt w:val="bullet"/>
      <w:lvlText w:val="•"/>
      <w:lvlJc w:val="left"/>
      <w:pPr>
        <w:ind w:left="4589" w:hanging="360"/>
      </w:pPr>
      <w:rPr>
        <w:rFonts w:hint="default" w:ascii="Times New Roman" w:hAnsi="Times New Roman" w:cs="Times New Roman"/>
      </w:rPr>
    </w:lvl>
    <w:lvl w:ilvl="6" w:tentative="0">
      <w:start w:val="0"/>
      <w:numFmt w:val="bullet"/>
      <w:lvlText w:val="•"/>
      <w:lvlJc w:val="left"/>
      <w:pPr>
        <w:ind w:left="5653" w:hanging="360"/>
      </w:pPr>
      <w:rPr>
        <w:rFonts w:hint="default" w:ascii="Times New Roman" w:hAnsi="Times New Roman" w:cs="Times New Roman"/>
      </w:rPr>
    </w:lvl>
    <w:lvl w:ilvl="7" w:tentative="0">
      <w:start w:val="0"/>
      <w:numFmt w:val="bullet"/>
      <w:lvlText w:val="•"/>
      <w:lvlJc w:val="left"/>
      <w:pPr>
        <w:ind w:left="6716" w:hanging="360"/>
      </w:pPr>
      <w:rPr>
        <w:rFonts w:hint="default" w:ascii="Times New Roman" w:hAnsi="Times New Roman" w:cs="Times New Roman"/>
      </w:rPr>
    </w:lvl>
    <w:lvl w:ilvl="8" w:tentative="0">
      <w:start w:val="0"/>
      <w:numFmt w:val="bullet"/>
      <w:lvlText w:val="•"/>
      <w:lvlJc w:val="left"/>
      <w:pPr>
        <w:ind w:left="7779" w:hanging="360"/>
      </w:pPr>
      <w:rPr>
        <w:rFonts w:hint="default" w:ascii="Times New Roman" w:hAnsi="Times New Roman" w:cs="Times New Roman"/>
      </w:rPr>
    </w:lvl>
  </w:abstractNum>
  <w:abstractNum w:abstractNumId="1">
    <w:nsid w:val="9F5F020E"/>
    <w:multiLevelType w:val="multilevel"/>
    <w:tmpl w:val="9F5F020E"/>
    <w:lvl w:ilvl="0" w:tentative="0">
      <w:start w:val="2"/>
      <w:numFmt w:val="decimal"/>
      <w:lvlText w:val="%1"/>
      <w:lvlJc w:val="left"/>
      <w:pPr>
        <w:ind w:left="562" w:hanging="447"/>
      </w:pPr>
      <w:rPr>
        <w:rFonts w:hint="default" w:ascii="Times New Roman" w:hAnsi="Times New Roman" w:cs="Times New Roman"/>
      </w:rPr>
    </w:lvl>
    <w:lvl w:ilvl="1" w:tentative="0">
      <w:start w:val="1"/>
      <w:numFmt w:val="decimal"/>
      <w:lvlText w:val="5.4.2.%2"/>
      <w:lvlJc w:val="left"/>
      <w:pPr>
        <w:ind w:left="447" w:hanging="447"/>
      </w:pPr>
      <w:rPr>
        <w:rFonts w:hint="default" w:ascii="Times New Roman" w:hAnsi="Times New Roman" w:cs="Times New Roman"/>
        <w:sz w:val="22"/>
        <w:szCs w:val="22"/>
      </w:rPr>
    </w:lvl>
    <w:lvl w:ilvl="2" w:tentative="0">
      <w:start w:val="1"/>
      <w:numFmt w:val="decimal"/>
      <w:lvlText w:val="%3)"/>
      <w:lvlJc w:val="left"/>
      <w:pPr>
        <w:ind w:left="1146" w:hanging="720"/>
      </w:pPr>
      <w:rPr>
        <w:rFonts w:hint="default" w:ascii="Times New Roman" w:hAnsi="Times New Roman" w:cs="Times New Roman"/>
        <w:sz w:val="22"/>
        <w:szCs w:val="22"/>
      </w:rPr>
    </w:lvl>
    <w:lvl w:ilvl="3" w:tentative="0">
      <w:start w:val="0"/>
      <w:numFmt w:val="bullet"/>
      <w:lvlText w:val="•"/>
      <w:lvlJc w:val="left"/>
      <w:pPr>
        <w:ind w:left="3072" w:hanging="720"/>
      </w:pPr>
      <w:rPr>
        <w:rFonts w:hint="default" w:ascii="Times New Roman" w:hAnsi="Times New Roman" w:cs="Times New Roman"/>
      </w:rPr>
    </w:lvl>
    <w:lvl w:ilvl="4" w:tentative="0">
      <w:start w:val="0"/>
      <w:numFmt w:val="bullet"/>
      <w:lvlText w:val="•"/>
      <w:lvlJc w:val="left"/>
      <w:pPr>
        <w:ind w:left="4048" w:hanging="720"/>
      </w:pPr>
      <w:rPr>
        <w:rFonts w:hint="default" w:ascii="Times New Roman" w:hAnsi="Times New Roman" w:cs="Times New Roman"/>
      </w:rPr>
    </w:lvl>
    <w:lvl w:ilvl="5" w:tentative="0">
      <w:start w:val="0"/>
      <w:numFmt w:val="bullet"/>
      <w:lvlText w:val="•"/>
      <w:lvlJc w:val="left"/>
      <w:pPr>
        <w:ind w:left="5025" w:hanging="720"/>
      </w:pPr>
      <w:rPr>
        <w:rFonts w:hint="default" w:ascii="Times New Roman" w:hAnsi="Times New Roman" w:cs="Times New Roman"/>
      </w:rPr>
    </w:lvl>
    <w:lvl w:ilvl="6" w:tentative="0">
      <w:start w:val="0"/>
      <w:numFmt w:val="bullet"/>
      <w:lvlText w:val="•"/>
      <w:lvlJc w:val="left"/>
      <w:pPr>
        <w:ind w:left="6001" w:hanging="720"/>
      </w:pPr>
      <w:rPr>
        <w:rFonts w:hint="default" w:ascii="Times New Roman" w:hAnsi="Times New Roman" w:cs="Times New Roman"/>
      </w:rPr>
    </w:lvl>
    <w:lvl w:ilvl="7" w:tentative="0">
      <w:start w:val="0"/>
      <w:numFmt w:val="bullet"/>
      <w:lvlText w:val="•"/>
      <w:lvlJc w:val="left"/>
      <w:pPr>
        <w:ind w:left="6977" w:hanging="720"/>
      </w:pPr>
      <w:rPr>
        <w:rFonts w:hint="default" w:ascii="Times New Roman" w:hAnsi="Times New Roman" w:cs="Times New Roman"/>
      </w:rPr>
    </w:lvl>
    <w:lvl w:ilvl="8" w:tentative="0">
      <w:start w:val="0"/>
      <w:numFmt w:val="bullet"/>
      <w:lvlText w:val="•"/>
      <w:lvlJc w:val="left"/>
      <w:pPr>
        <w:ind w:left="7953" w:hanging="720"/>
      </w:pPr>
      <w:rPr>
        <w:rFonts w:hint="default" w:ascii="Times New Roman" w:hAnsi="Times New Roman" w:cs="Times New Roman"/>
      </w:rPr>
    </w:lvl>
  </w:abstractNum>
  <w:abstractNum w:abstractNumId="2">
    <w:nsid w:val="AF4D2F12"/>
    <w:multiLevelType w:val="multilevel"/>
    <w:tmpl w:val="AF4D2F12"/>
    <w:lvl w:ilvl="0" w:tentative="0">
      <w:start w:val="3"/>
      <w:numFmt w:val="decimal"/>
      <w:lvlText w:val="%1"/>
      <w:lvlJc w:val="left"/>
      <w:pPr>
        <w:ind w:left="591" w:hanging="476"/>
      </w:pPr>
      <w:rPr>
        <w:rFonts w:hint="default" w:ascii="Times New Roman" w:hAnsi="Times New Roman" w:cs="Times New Roman"/>
      </w:rPr>
    </w:lvl>
    <w:lvl w:ilvl="1" w:tentative="0">
      <w:start w:val="1"/>
      <w:numFmt w:val="decimal"/>
      <w:lvlText w:val="5.4.3.%2"/>
      <w:lvlJc w:val="left"/>
      <w:pPr>
        <w:ind w:left="476" w:hanging="476"/>
      </w:pPr>
      <w:rPr>
        <w:rFonts w:hint="default" w:ascii="Times New Roman" w:hAnsi="Times New Roman" w:cs="Times New Roman"/>
        <w:sz w:val="22"/>
        <w:szCs w:val="22"/>
      </w:rPr>
    </w:lvl>
    <w:lvl w:ilvl="2" w:tentative="0">
      <w:start w:val="1"/>
      <w:numFmt w:val="decimal"/>
      <w:lvlText w:val="%3)"/>
      <w:lvlJc w:val="left"/>
      <w:pPr>
        <w:ind w:left="1215" w:hanging="648"/>
      </w:pPr>
      <w:rPr>
        <w:rFonts w:hint="default" w:ascii="Times New Roman" w:hAnsi="Times New Roman" w:cs="Times New Roman"/>
        <w:sz w:val="22"/>
        <w:szCs w:val="22"/>
      </w:rPr>
    </w:lvl>
    <w:lvl w:ilvl="3" w:tentative="0">
      <w:start w:val="1"/>
      <w:numFmt w:val="decimalEnclosedCircle"/>
      <w:lvlText w:val="%4"/>
      <w:lvlJc w:val="left"/>
      <w:pPr>
        <w:ind w:left="1398" w:hanging="360"/>
      </w:pPr>
      <w:rPr>
        <w:rFonts w:hint="eastAsia" w:ascii="宋体" w:hAnsi="宋体" w:eastAsia="宋体" w:cs="宋体"/>
        <w:spacing w:val="-1"/>
        <w:sz w:val="24"/>
        <w:szCs w:val="24"/>
      </w:rPr>
    </w:lvl>
    <w:lvl w:ilvl="4" w:tentative="0">
      <w:start w:val="1"/>
      <w:numFmt w:val="lowerLetter"/>
      <w:lvlText w:val="%5)"/>
      <w:lvlJc w:val="left"/>
      <w:pPr>
        <w:ind w:left="2190" w:hanging="361"/>
      </w:pPr>
      <w:rPr>
        <w:rFonts w:hint="default" w:ascii="Times New Roman" w:hAnsi="Times New Roman" w:cs="Times New Roman"/>
        <w:spacing w:val="-1"/>
        <w:sz w:val="22"/>
        <w:szCs w:val="22"/>
      </w:rPr>
    </w:lvl>
    <w:lvl w:ilvl="5" w:tentative="0">
      <w:start w:val="0"/>
      <w:numFmt w:val="bullet"/>
      <w:lvlText w:val="•"/>
      <w:lvlJc w:val="left"/>
      <w:pPr>
        <w:ind w:left="3484" w:hanging="361"/>
      </w:pPr>
      <w:rPr>
        <w:rFonts w:hint="default" w:ascii="Times New Roman" w:hAnsi="Times New Roman" w:cs="Times New Roman"/>
      </w:rPr>
    </w:lvl>
    <w:lvl w:ilvl="6" w:tentative="0">
      <w:start w:val="0"/>
      <w:numFmt w:val="bullet"/>
      <w:lvlText w:val="•"/>
      <w:lvlJc w:val="left"/>
      <w:pPr>
        <w:ind w:left="4768" w:hanging="361"/>
      </w:pPr>
      <w:rPr>
        <w:rFonts w:hint="default" w:ascii="Times New Roman" w:hAnsi="Times New Roman" w:cs="Times New Roman"/>
      </w:rPr>
    </w:lvl>
    <w:lvl w:ilvl="7" w:tentative="0">
      <w:start w:val="0"/>
      <w:numFmt w:val="bullet"/>
      <w:lvlText w:val="•"/>
      <w:lvlJc w:val="left"/>
      <w:pPr>
        <w:ind w:left="6053" w:hanging="361"/>
      </w:pPr>
      <w:rPr>
        <w:rFonts w:hint="default" w:ascii="Times New Roman" w:hAnsi="Times New Roman" w:cs="Times New Roman"/>
      </w:rPr>
    </w:lvl>
    <w:lvl w:ilvl="8" w:tentative="0">
      <w:start w:val="0"/>
      <w:numFmt w:val="bullet"/>
      <w:lvlText w:val="•"/>
      <w:lvlJc w:val="left"/>
      <w:pPr>
        <w:ind w:left="7337" w:hanging="361"/>
      </w:pPr>
      <w:rPr>
        <w:rFonts w:hint="default" w:ascii="Times New Roman" w:hAnsi="Times New Roman" w:cs="Times New Roman"/>
      </w:rPr>
    </w:lvl>
  </w:abstractNum>
  <w:abstractNum w:abstractNumId="3">
    <w:nsid w:val="B5B7C882"/>
    <w:multiLevelType w:val="multilevel"/>
    <w:tmpl w:val="B5B7C882"/>
    <w:lvl w:ilvl="0" w:tentative="0">
      <w:start w:val="1"/>
      <w:numFmt w:val="decimal"/>
      <w:lvlText w:val="%1"/>
      <w:lvlJc w:val="left"/>
      <w:pPr>
        <w:ind w:left="1196" w:hanging="605"/>
      </w:pPr>
      <w:rPr>
        <w:rFonts w:hint="default" w:ascii="Times New Roman" w:hAnsi="Times New Roman" w:cs="Times New Roman"/>
      </w:rPr>
    </w:lvl>
    <w:lvl w:ilvl="1" w:tentative="0">
      <w:start w:val="1"/>
      <w:numFmt w:val="decimal"/>
      <w:lvlText w:val="5.2.%2"/>
      <w:lvlJc w:val="left"/>
      <w:pPr>
        <w:ind w:left="1196" w:hanging="605"/>
      </w:pPr>
      <w:rPr>
        <w:rFonts w:hint="eastAsia" w:ascii="宋体" w:hAnsi="宋体" w:eastAsia="宋体" w:cs="宋体"/>
      </w:rPr>
    </w:lvl>
    <w:lvl w:ilvl="2" w:tentative="0">
      <w:start w:val="1"/>
      <w:numFmt w:val="decimal"/>
      <w:lvlText w:val="5.2.1.3.%3"/>
      <w:lvlJc w:val="left"/>
      <w:pPr>
        <w:ind w:left="1196" w:hanging="605"/>
      </w:pPr>
      <w:rPr>
        <w:rFonts w:hint="default" w:ascii="Times New Roman" w:hAnsi="Times New Roman" w:cs="Times New Roman"/>
        <w:sz w:val="22"/>
        <w:szCs w:val="22"/>
      </w:rPr>
    </w:lvl>
    <w:lvl w:ilvl="3" w:tentative="0">
      <w:start w:val="1"/>
      <w:numFmt w:val="decimal"/>
      <w:lvlText w:val="%4)"/>
      <w:lvlJc w:val="left"/>
      <w:pPr>
        <w:ind w:left="1556" w:hanging="360"/>
      </w:pPr>
      <w:rPr>
        <w:rFonts w:hint="default" w:ascii="Arial" w:hAnsi="Arial" w:cs="Arial"/>
        <w:spacing w:val="-1"/>
        <w:sz w:val="22"/>
        <w:szCs w:val="22"/>
      </w:rPr>
    </w:lvl>
    <w:lvl w:ilvl="4" w:tentative="0">
      <w:start w:val="1"/>
      <w:numFmt w:val="decimalEnclosedCircle"/>
      <w:lvlText w:val="%5"/>
      <w:lvlJc w:val="left"/>
      <w:pPr>
        <w:ind w:left="1995" w:hanging="430"/>
      </w:pPr>
      <w:rPr>
        <w:rFonts w:hint="eastAsia" w:ascii="宋体" w:hAnsi="宋体" w:eastAsia="宋体" w:cs="宋体"/>
        <w:sz w:val="24"/>
        <w:szCs w:val="24"/>
      </w:rPr>
    </w:lvl>
    <w:lvl w:ilvl="5" w:tentative="0">
      <w:start w:val="1"/>
      <w:numFmt w:val="upperLetter"/>
      <w:lvlText w:val="%6."/>
      <w:lvlJc w:val="left"/>
      <w:pPr>
        <w:ind w:left="2363" w:hanging="361"/>
      </w:pPr>
      <w:rPr>
        <w:rFonts w:hint="default" w:ascii="Arial" w:hAnsi="Arial" w:cs="Arial"/>
        <w:spacing w:val="-1"/>
        <w:sz w:val="22"/>
        <w:szCs w:val="22"/>
      </w:rPr>
    </w:lvl>
    <w:lvl w:ilvl="6" w:tentative="0">
      <w:start w:val="0"/>
      <w:numFmt w:val="bullet"/>
      <w:lvlText w:val="•"/>
      <w:lvlJc w:val="left"/>
      <w:pPr>
        <w:ind w:left="4888" w:hanging="361"/>
      </w:pPr>
      <w:rPr>
        <w:rFonts w:hint="default" w:ascii="Times New Roman" w:hAnsi="Times New Roman" w:cs="Times New Roman"/>
      </w:rPr>
    </w:lvl>
    <w:lvl w:ilvl="7" w:tentative="0">
      <w:start w:val="0"/>
      <w:numFmt w:val="bullet"/>
      <w:lvlText w:val="•"/>
      <w:lvlJc w:val="left"/>
      <w:pPr>
        <w:ind w:left="6153" w:hanging="361"/>
      </w:pPr>
      <w:rPr>
        <w:rFonts w:hint="default" w:ascii="Times New Roman" w:hAnsi="Times New Roman" w:cs="Times New Roman"/>
      </w:rPr>
    </w:lvl>
    <w:lvl w:ilvl="8" w:tentative="0">
      <w:start w:val="0"/>
      <w:numFmt w:val="bullet"/>
      <w:lvlText w:val="•"/>
      <w:lvlJc w:val="left"/>
      <w:pPr>
        <w:ind w:left="7417" w:hanging="361"/>
      </w:pPr>
      <w:rPr>
        <w:rFonts w:hint="default" w:ascii="Times New Roman" w:hAnsi="Times New Roman" w:cs="Times New Roman"/>
      </w:rPr>
    </w:lvl>
  </w:abstractNum>
  <w:abstractNum w:abstractNumId="4">
    <w:nsid w:val="BBFEA3D2"/>
    <w:multiLevelType w:val="multilevel"/>
    <w:tmpl w:val="BBFEA3D2"/>
    <w:lvl w:ilvl="0" w:tentative="0">
      <w:start w:val="3"/>
      <w:numFmt w:val="decimal"/>
      <w:lvlText w:val="%1"/>
      <w:lvlJc w:val="left"/>
      <w:pPr>
        <w:ind w:left="591" w:hanging="476"/>
      </w:pPr>
      <w:rPr>
        <w:rFonts w:hint="default" w:ascii="Times New Roman" w:hAnsi="Times New Roman" w:cs="Times New Roman"/>
      </w:rPr>
    </w:lvl>
    <w:lvl w:ilvl="1" w:tentative="0">
      <w:start w:val="1"/>
      <w:numFmt w:val="decimal"/>
      <w:lvlText w:val="5.4.3.%2"/>
      <w:lvlJc w:val="left"/>
      <w:pPr>
        <w:ind w:left="476" w:hanging="476"/>
      </w:pPr>
      <w:rPr>
        <w:rFonts w:hint="default" w:ascii="Times New Roman" w:hAnsi="Times New Roman" w:cs="Times New Roman"/>
        <w:sz w:val="22"/>
        <w:szCs w:val="22"/>
      </w:rPr>
    </w:lvl>
    <w:lvl w:ilvl="2" w:tentative="0">
      <w:start w:val="1"/>
      <w:numFmt w:val="decimal"/>
      <w:lvlText w:val="%3)"/>
      <w:lvlJc w:val="left"/>
      <w:pPr>
        <w:ind w:left="1215" w:hanging="648"/>
      </w:pPr>
      <w:rPr>
        <w:rFonts w:hint="default" w:ascii="Times New Roman" w:hAnsi="Times New Roman" w:cs="Times New Roman"/>
        <w:sz w:val="22"/>
        <w:szCs w:val="22"/>
      </w:rPr>
    </w:lvl>
    <w:lvl w:ilvl="3" w:tentative="0">
      <w:start w:val="1"/>
      <w:numFmt w:val="decimalEnclosedCircle"/>
      <w:lvlText w:val="%4"/>
      <w:lvlJc w:val="left"/>
      <w:pPr>
        <w:ind w:left="1398" w:hanging="360"/>
      </w:pPr>
      <w:rPr>
        <w:rFonts w:hint="eastAsia" w:ascii="宋体" w:hAnsi="宋体" w:eastAsia="宋体" w:cs="宋体"/>
        <w:spacing w:val="-1"/>
        <w:sz w:val="24"/>
        <w:szCs w:val="24"/>
      </w:rPr>
    </w:lvl>
    <w:lvl w:ilvl="4" w:tentative="0">
      <w:start w:val="1"/>
      <w:numFmt w:val="lowerLetter"/>
      <w:lvlText w:val="%5)"/>
      <w:lvlJc w:val="left"/>
      <w:pPr>
        <w:ind w:left="2190" w:hanging="361"/>
      </w:pPr>
      <w:rPr>
        <w:rFonts w:hint="default" w:ascii="Times New Roman" w:hAnsi="Times New Roman" w:cs="Times New Roman"/>
        <w:spacing w:val="-1"/>
        <w:sz w:val="22"/>
        <w:szCs w:val="22"/>
      </w:rPr>
    </w:lvl>
    <w:lvl w:ilvl="5" w:tentative="0">
      <w:start w:val="0"/>
      <w:numFmt w:val="bullet"/>
      <w:lvlText w:val="•"/>
      <w:lvlJc w:val="left"/>
      <w:pPr>
        <w:ind w:left="3484" w:hanging="361"/>
      </w:pPr>
      <w:rPr>
        <w:rFonts w:hint="default" w:ascii="Times New Roman" w:hAnsi="Times New Roman" w:cs="Times New Roman"/>
      </w:rPr>
    </w:lvl>
    <w:lvl w:ilvl="6" w:tentative="0">
      <w:start w:val="0"/>
      <w:numFmt w:val="bullet"/>
      <w:lvlText w:val="•"/>
      <w:lvlJc w:val="left"/>
      <w:pPr>
        <w:ind w:left="4768" w:hanging="361"/>
      </w:pPr>
      <w:rPr>
        <w:rFonts w:hint="default" w:ascii="Times New Roman" w:hAnsi="Times New Roman" w:cs="Times New Roman"/>
      </w:rPr>
    </w:lvl>
    <w:lvl w:ilvl="7" w:tentative="0">
      <w:start w:val="0"/>
      <w:numFmt w:val="bullet"/>
      <w:lvlText w:val="•"/>
      <w:lvlJc w:val="left"/>
      <w:pPr>
        <w:ind w:left="6053" w:hanging="361"/>
      </w:pPr>
      <w:rPr>
        <w:rFonts w:hint="default" w:ascii="Times New Roman" w:hAnsi="Times New Roman" w:cs="Times New Roman"/>
      </w:rPr>
    </w:lvl>
    <w:lvl w:ilvl="8" w:tentative="0">
      <w:start w:val="0"/>
      <w:numFmt w:val="bullet"/>
      <w:lvlText w:val="•"/>
      <w:lvlJc w:val="left"/>
      <w:pPr>
        <w:ind w:left="7337" w:hanging="361"/>
      </w:pPr>
      <w:rPr>
        <w:rFonts w:hint="default" w:ascii="Times New Roman" w:hAnsi="Times New Roman" w:cs="Times New Roman"/>
      </w:rPr>
    </w:lvl>
  </w:abstractNum>
  <w:abstractNum w:abstractNumId="5">
    <w:nsid w:val="C77E2519"/>
    <w:multiLevelType w:val="multilevel"/>
    <w:tmpl w:val="C77E2519"/>
    <w:lvl w:ilvl="0" w:tentative="0">
      <w:start w:val="2"/>
      <w:numFmt w:val="decimal"/>
      <w:lvlText w:val="%1"/>
      <w:lvlJc w:val="left"/>
      <w:pPr>
        <w:ind w:left="562" w:hanging="447"/>
      </w:pPr>
      <w:rPr>
        <w:rFonts w:hint="default" w:ascii="Times New Roman" w:hAnsi="Times New Roman" w:cs="Times New Roman"/>
      </w:rPr>
    </w:lvl>
    <w:lvl w:ilvl="1" w:tentative="0">
      <w:start w:val="1"/>
      <w:numFmt w:val="decimal"/>
      <w:lvlText w:val="5.4.2.%2"/>
      <w:lvlJc w:val="left"/>
      <w:pPr>
        <w:ind w:left="447" w:hanging="447"/>
      </w:pPr>
      <w:rPr>
        <w:rFonts w:hint="default" w:ascii="Times New Roman" w:hAnsi="Times New Roman" w:cs="Times New Roman"/>
        <w:sz w:val="22"/>
        <w:szCs w:val="22"/>
      </w:rPr>
    </w:lvl>
    <w:lvl w:ilvl="2" w:tentative="0">
      <w:start w:val="1"/>
      <w:numFmt w:val="decimal"/>
      <w:lvlText w:val="%3)"/>
      <w:lvlJc w:val="left"/>
      <w:pPr>
        <w:ind w:left="1124" w:hanging="720"/>
      </w:pPr>
      <w:rPr>
        <w:rFonts w:hint="default" w:ascii="Times New Roman" w:hAnsi="Times New Roman" w:cs="Times New Roman"/>
        <w:sz w:val="22"/>
        <w:szCs w:val="22"/>
      </w:rPr>
    </w:lvl>
    <w:lvl w:ilvl="3" w:tentative="0">
      <w:start w:val="0"/>
      <w:numFmt w:val="bullet"/>
      <w:lvlText w:val="•"/>
      <w:lvlJc w:val="left"/>
      <w:pPr>
        <w:ind w:left="3072" w:hanging="720"/>
      </w:pPr>
      <w:rPr>
        <w:rFonts w:hint="default" w:ascii="Times New Roman" w:hAnsi="Times New Roman" w:cs="Times New Roman"/>
      </w:rPr>
    </w:lvl>
    <w:lvl w:ilvl="4" w:tentative="0">
      <w:start w:val="0"/>
      <w:numFmt w:val="bullet"/>
      <w:lvlText w:val="•"/>
      <w:lvlJc w:val="left"/>
      <w:pPr>
        <w:ind w:left="4048" w:hanging="720"/>
      </w:pPr>
      <w:rPr>
        <w:rFonts w:hint="default" w:ascii="Times New Roman" w:hAnsi="Times New Roman" w:cs="Times New Roman"/>
      </w:rPr>
    </w:lvl>
    <w:lvl w:ilvl="5" w:tentative="0">
      <w:start w:val="0"/>
      <w:numFmt w:val="bullet"/>
      <w:lvlText w:val="•"/>
      <w:lvlJc w:val="left"/>
      <w:pPr>
        <w:ind w:left="5025" w:hanging="720"/>
      </w:pPr>
      <w:rPr>
        <w:rFonts w:hint="default" w:ascii="Times New Roman" w:hAnsi="Times New Roman" w:cs="Times New Roman"/>
      </w:rPr>
    </w:lvl>
    <w:lvl w:ilvl="6" w:tentative="0">
      <w:start w:val="0"/>
      <w:numFmt w:val="bullet"/>
      <w:lvlText w:val="•"/>
      <w:lvlJc w:val="left"/>
      <w:pPr>
        <w:ind w:left="6001" w:hanging="720"/>
      </w:pPr>
      <w:rPr>
        <w:rFonts w:hint="default" w:ascii="Times New Roman" w:hAnsi="Times New Roman" w:cs="Times New Roman"/>
      </w:rPr>
    </w:lvl>
    <w:lvl w:ilvl="7" w:tentative="0">
      <w:start w:val="0"/>
      <w:numFmt w:val="bullet"/>
      <w:lvlText w:val="•"/>
      <w:lvlJc w:val="left"/>
      <w:pPr>
        <w:ind w:left="6977" w:hanging="720"/>
      </w:pPr>
      <w:rPr>
        <w:rFonts w:hint="default" w:ascii="Times New Roman" w:hAnsi="Times New Roman" w:cs="Times New Roman"/>
      </w:rPr>
    </w:lvl>
    <w:lvl w:ilvl="8" w:tentative="0">
      <w:start w:val="0"/>
      <w:numFmt w:val="bullet"/>
      <w:lvlText w:val="•"/>
      <w:lvlJc w:val="left"/>
      <w:pPr>
        <w:ind w:left="7953" w:hanging="720"/>
      </w:pPr>
      <w:rPr>
        <w:rFonts w:hint="default" w:ascii="Times New Roman" w:hAnsi="Times New Roman" w:cs="Times New Roman"/>
      </w:rPr>
    </w:lvl>
  </w:abstractNum>
  <w:abstractNum w:abstractNumId="6">
    <w:nsid w:val="D76F39C5"/>
    <w:multiLevelType w:val="multilevel"/>
    <w:tmpl w:val="D76F39C5"/>
    <w:lvl w:ilvl="0" w:tentative="0">
      <w:start w:val="3"/>
      <w:numFmt w:val="decimal"/>
      <w:lvlText w:val="%1"/>
      <w:lvlJc w:val="left"/>
      <w:pPr>
        <w:ind w:left="591" w:hanging="476"/>
      </w:pPr>
      <w:rPr>
        <w:rFonts w:hint="default" w:ascii="Times New Roman" w:hAnsi="Times New Roman" w:cs="Times New Roman"/>
      </w:rPr>
    </w:lvl>
    <w:lvl w:ilvl="1" w:tentative="0">
      <w:start w:val="1"/>
      <w:numFmt w:val="decimal"/>
      <w:lvlText w:val="5.4.3.%2"/>
      <w:lvlJc w:val="left"/>
      <w:pPr>
        <w:ind w:left="476" w:hanging="476"/>
      </w:pPr>
      <w:rPr>
        <w:rFonts w:hint="default" w:ascii="Times New Roman" w:hAnsi="Times New Roman" w:cs="Times New Roman"/>
        <w:sz w:val="22"/>
        <w:szCs w:val="22"/>
      </w:rPr>
    </w:lvl>
    <w:lvl w:ilvl="2" w:tentative="0">
      <w:start w:val="1"/>
      <w:numFmt w:val="decimal"/>
      <w:lvlText w:val="%3)"/>
      <w:lvlJc w:val="left"/>
      <w:pPr>
        <w:ind w:left="1215" w:hanging="648"/>
      </w:pPr>
      <w:rPr>
        <w:rFonts w:hint="default" w:ascii="Times New Roman" w:hAnsi="Times New Roman" w:cs="Times New Roman"/>
        <w:sz w:val="22"/>
        <w:szCs w:val="22"/>
      </w:rPr>
    </w:lvl>
    <w:lvl w:ilvl="3" w:tentative="0">
      <w:start w:val="1"/>
      <w:numFmt w:val="decimalEnclosedCircle"/>
      <w:lvlText w:val="%4"/>
      <w:lvlJc w:val="left"/>
      <w:pPr>
        <w:ind w:left="1398" w:hanging="360"/>
      </w:pPr>
      <w:rPr>
        <w:rFonts w:hint="eastAsia" w:ascii="宋体" w:hAnsi="宋体" w:eastAsia="宋体" w:cs="宋体"/>
        <w:spacing w:val="-1"/>
        <w:sz w:val="24"/>
        <w:szCs w:val="24"/>
      </w:rPr>
    </w:lvl>
    <w:lvl w:ilvl="4" w:tentative="0">
      <w:start w:val="1"/>
      <w:numFmt w:val="lowerLetter"/>
      <w:lvlText w:val="%5)"/>
      <w:lvlJc w:val="left"/>
      <w:pPr>
        <w:ind w:left="2190" w:hanging="361"/>
      </w:pPr>
      <w:rPr>
        <w:rFonts w:hint="default" w:ascii="Times New Roman" w:hAnsi="Times New Roman" w:cs="Times New Roman"/>
        <w:spacing w:val="-1"/>
        <w:sz w:val="22"/>
        <w:szCs w:val="22"/>
      </w:rPr>
    </w:lvl>
    <w:lvl w:ilvl="5" w:tentative="0">
      <w:start w:val="0"/>
      <w:numFmt w:val="bullet"/>
      <w:lvlText w:val="•"/>
      <w:lvlJc w:val="left"/>
      <w:pPr>
        <w:ind w:left="3484" w:hanging="361"/>
      </w:pPr>
      <w:rPr>
        <w:rFonts w:hint="default" w:ascii="Times New Roman" w:hAnsi="Times New Roman" w:cs="Times New Roman"/>
      </w:rPr>
    </w:lvl>
    <w:lvl w:ilvl="6" w:tentative="0">
      <w:start w:val="0"/>
      <w:numFmt w:val="bullet"/>
      <w:lvlText w:val="•"/>
      <w:lvlJc w:val="left"/>
      <w:pPr>
        <w:ind w:left="4768" w:hanging="361"/>
      </w:pPr>
      <w:rPr>
        <w:rFonts w:hint="default" w:ascii="Times New Roman" w:hAnsi="Times New Roman" w:cs="Times New Roman"/>
      </w:rPr>
    </w:lvl>
    <w:lvl w:ilvl="7" w:tentative="0">
      <w:start w:val="0"/>
      <w:numFmt w:val="bullet"/>
      <w:lvlText w:val="•"/>
      <w:lvlJc w:val="left"/>
      <w:pPr>
        <w:ind w:left="6053" w:hanging="361"/>
      </w:pPr>
      <w:rPr>
        <w:rFonts w:hint="default" w:ascii="Times New Roman" w:hAnsi="Times New Roman" w:cs="Times New Roman"/>
      </w:rPr>
    </w:lvl>
    <w:lvl w:ilvl="8" w:tentative="0">
      <w:start w:val="0"/>
      <w:numFmt w:val="bullet"/>
      <w:lvlText w:val="•"/>
      <w:lvlJc w:val="left"/>
      <w:pPr>
        <w:ind w:left="7337" w:hanging="361"/>
      </w:pPr>
      <w:rPr>
        <w:rFonts w:hint="default" w:ascii="Times New Roman" w:hAnsi="Times New Roman" w:cs="Times New Roman"/>
      </w:rPr>
    </w:lvl>
  </w:abstractNum>
  <w:abstractNum w:abstractNumId="7">
    <w:nsid w:val="E7BF50ED"/>
    <w:multiLevelType w:val="multilevel"/>
    <w:tmpl w:val="E7BF50ED"/>
    <w:lvl w:ilvl="0" w:tentative="0">
      <w:start w:val="2"/>
      <w:numFmt w:val="decimal"/>
      <w:lvlText w:val="%1"/>
      <w:lvlJc w:val="left"/>
      <w:pPr>
        <w:ind w:left="682" w:hanging="567"/>
      </w:pPr>
      <w:rPr>
        <w:rFonts w:hint="default" w:ascii="Times New Roman" w:hAnsi="Times New Roman" w:cs="Times New Roman"/>
      </w:rPr>
    </w:lvl>
    <w:lvl w:ilvl="1" w:tentative="0">
      <w:start w:val="1"/>
      <w:numFmt w:val="chineseCountingThousand"/>
      <w:lvlText w:val="(%2)"/>
      <w:lvlJc w:val="left"/>
      <w:pPr>
        <w:ind w:left="682" w:hanging="567"/>
      </w:pPr>
      <w:rPr>
        <w:rFonts w:hint="default" w:ascii="Times New Roman" w:hAnsi="Times New Roman" w:cs="Times New Roman"/>
        <w:sz w:val="22"/>
        <w:szCs w:val="22"/>
      </w:rPr>
    </w:lvl>
    <w:lvl w:ilvl="2" w:tentative="0">
      <w:start w:val="1"/>
      <w:numFmt w:val="decimal"/>
      <w:lvlText w:val="%3)"/>
      <w:lvlJc w:val="left"/>
      <w:pPr>
        <w:ind w:left="1534" w:hanging="852"/>
      </w:pPr>
      <w:rPr>
        <w:rFonts w:hint="default" w:ascii="Times New Roman" w:hAnsi="Times New Roman" w:cs="Times New Roman"/>
        <w:spacing w:val="-3"/>
        <w:sz w:val="22"/>
        <w:szCs w:val="22"/>
      </w:rPr>
    </w:lvl>
    <w:lvl w:ilvl="3" w:tentative="0">
      <w:start w:val="1"/>
      <w:numFmt w:val="decimalEnclosedCircle"/>
      <w:lvlText w:val="%4"/>
      <w:lvlJc w:val="left"/>
      <w:pPr>
        <w:ind w:left="2157" w:hanging="339"/>
      </w:pPr>
      <w:rPr>
        <w:rFonts w:hint="eastAsia" w:ascii="宋体" w:hAnsi="宋体" w:eastAsia="宋体" w:cs="宋体"/>
        <w:spacing w:val="-1"/>
        <w:sz w:val="22"/>
        <w:szCs w:val="22"/>
      </w:rPr>
    </w:lvl>
    <w:lvl w:ilvl="4" w:tentative="0">
      <w:start w:val="0"/>
      <w:numFmt w:val="bullet"/>
      <w:lvlText w:val="•"/>
      <w:lvlJc w:val="left"/>
      <w:pPr>
        <w:ind w:left="2160" w:hanging="339"/>
      </w:pPr>
      <w:rPr>
        <w:rFonts w:hint="default" w:ascii="Times New Roman" w:hAnsi="Times New Roman" w:cs="Times New Roman"/>
      </w:rPr>
    </w:lvl>
    <w:lvl w:ilvl="5" w:tentative="0">
      <w:start w:val="0"/>
      <w:numFmt w:val="bullet"/>
      <w:lvlText w:val="•"/>
      <w:lvlJc w:val="left"/>
      <w:pPr>
        <w:ind w:left="2320" w:hanging="339"/>
      </w:pPr>
      <w:rPr>
        <w:rFonts w:hint="default" w:ascii="Times New Roman" w:hAnsi="Times New Roman" w:cs="Times New Roman"/>
      </w:rPr>
    </w:lvl>
    <w:lvl w:ilvl="6" w:tentative="0">
      <w:start w:val="0"/>
      <w:numFmt w:val="bullet"/>
      <w:lvlText w:val="•"/>
      <w:lvlJc w:val="left"/>
      <w:pPr>
        <w:ind w:left="3841" w:hanging="339"/>
      </w:pPr>
      <w:rPr>
        <w:rFonts w:hint="default" w:ascii="Times New Roman" w:hAnsi="Times New Roman" w:cs="Times New Roman"/>
      </w:rPr>
    </w:lvl>
    <w:lvl w:ilvl="7" w:tentative="0">
      <w:start w:val="0"/>
      <w:numFmt w:val="bullet"/>
      <w:lvlText w:val="•"/>
      <w:lvlJc w:val="left"/>
      <w:pPr>
        <w:ind w:left="5362" w:hanging="339"/>
      </w:pPr>
      <w:rPr>
        <w:rFonts w:hint="default" w:ascii="Times New Roman" w:hAnsi="Times New Roman" w:cs="Times New Roman"/>
      </w:rPr>
    </w:lvl>
    <w:lvl w:ilvl="8" w:tentative="0">
      <w:start w:val="0"/>
      <w:numFmt w:val="bullet"/>
      <w:lvlText w:val="•"/>
      <w:lvlJc w:val="left"/>
      <w:pPr>
        <w:ind w:left="6883" w:hanging="339"/>
      </w:pPr>
      <w:rPr>
        <w:rFonts w:hint="default" w:ascii="Times New Roman" w:hAnsi="Times New Roman" w:cs="Times New Roman"/>
      </w:rPr>
    </w:lvl>
  </w:abstractNum>
  <w:abstractNum w:abstractNumId="8">
    <w:nsid w:val="EABEB244"/>
    <w:multiLevelType w:val="multilevel"/>
    <w:tmpl w:val="EABEB244"/>
    <w:lvl w:ilvl="0" w:tentative="0">
      <w:start w:val="1"/>
      <w:numFmt w:val="decimal"/>
      <w:lvlText w:val="%1)"/>
      <w:lvlJc w:val="left"/>
      <w:pPr>
        <w:ind w:left="420" w:hanging="420"/>
      </w:pPr>
      <w:rPr>
        <w:rFonts w:hint="default" w:ascii="Times New Roman" w:hAnsi="Times New Roman" w:cs="Times New Roman"/>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9">
    <w:nsid w:val="FE7ABC06"/>
    <w:multiLevelType w:val="multilevel"/>
    <w:tmpl w:val="FE7ABC06"/>
    <w:lvl w:ilvl="0" w:tentative="0">
      <w:start w:val="1"/>
      <w:numFmt w:val="decimalEnclosedCircle"/>
      <w:lvlText w:val="%1"/>
      <w:lvlJc w:val="left"/>
      <w:pPr>
        <w:ind w:left="2174" w:hanging="345"/>
      </w:pPr>
      <w:rPr>
        <w:rFonts w:hint="eastAsia" w:ascii="宋体" w:hAnsi="宋体" w:eastAsia="宋体" w:cs="宋体"/>
        <w:spacing w:val="-1"/>
        <w:sz w:val="20"/>
        <w:szCs w:val="20"/>
      </w:rPr>
    </w:lvl>
    <w:lvl w:ilvl="1" w:tentative="0">
      <w:start w:val="0"/>
      <w:numFmt w:val="bullet"/>
      <w:lvlText w:val="•"/>
      <w:lvlJc w:val="left"/>
      <w:pPr>
        <w:ind w:left="2954" w:hanging="345"/>
      </w:pPr>
      <w:rPr>
        <w:rFonts w:hint="default" w:ascii="Times New Roman" w:hAnsi="Times New Roman" w:cs="Times New Roman"/>
      </w:rPr>
    </w:lvl>
    <w:lvl w:ilvl="2" w:tentative="0">
      <w:start w:val="0"/>
      <w:numFmt w:val="bullet"/>
      <w:lvlText w:val="•"/>
      <w:lvlJc w:val="left"/>
      <w:pPr>
        <w:ind w:left="3729" w:hanging="345"/>
      </w:pPr>
      <w:rPr>
        <w:rFonts w:hint="default" w:ascii="Times New Roman" w:hAnsi="Times New Roman" w:cs="Times New Roman"/>
      </w:rPr>
    </w:lvl>
    <w:lvl w:ilvl="3" w:tentative="0">
      <w:start w:val="0"/>
      <w:numFmt w:val="bullet"/>
      <w:lvlText w:val="•"/>
      <w:lvlJc w:val="left"/>
      <w:pPr>
        <w:ind w:left="4503" w:hanging="345"/>
      </w:pPr>
      <w:rPr>
        <w:rFonts w:hint="default" w:ascii="Times New Roman" w:hAnsi="Times New Roman" w:cs="Times New Roman"/>
      </w:rPr>
    </w:lvl>
    <w:lvl w:ilvl="4" w:tentative="0">
      <w:start w:val="0"/>
      <w:numFmt w:val="bullet"/>
      <w:lvlText w:val="•"/>
      <w:lvlJc w:val="left"/>
      <w:pPr>
        <w:ind w:left="5278" w:hanging="345"/>
      </w:pPr>
      <w:rPr>
        <w:rFonts w:hint="default" w:ascii="Times New Roman" w:hAnsi="Times New Roman" w:cs="Times New Roman"/>
      </w:rPr>
    </w:lvl>
    <w:lvl w:ilvl="5" w:tentative="0">
      <w:start w:val="0"/>
      <w:numFmt w:val="bullet"/>
      <w:lvlText w:val="•"/>
      <w:lvlJc w:val="left"/>
      <w:pPr>
        <w:ind w:left="6053" w:hanging="345"/>
      </w:pPr>
      <w:rPr>
        <w:rFonts w:hint="default" w:ascii="Times New Roman" w:hAnsi="Times New Roman" w:cs="Times New Roman"/>
      </w:rPr>
    </w:lvl>
    <w:lvl w:ilvl="6" w:tentative="0">
      <w:start w:val="0"/>
      <w:numFmt w:val="bullet"/>
      <w:lvlText w:val="•"/>
      <w:lvlJc w:val="left"/>
      <w:pPr>
        <w:ind w:left="6827" w:hanging="345"/>
      </w:pPr>
      <w:rPr>
        <w:rFonts w:hint="default" w:ascii="Times New Roman" w:hAnsi="Times New Roman" w:cs="Times New Roman"/>
      </w:rPr>
    </w:lvl>
    <w:lvl w:ilvl="7" w:tentative="0">
      <w:start w:val="0"/>
      <w:numFmt w:val="bullet"/>
      <w:lvlText w:val="•"/>
      <w:lvlJc w:val="left"/>
      <w:pPr>
        <w:ind w:left="7602" w:hanging="345"/>
      </w:pPr>
      <w:rPr>
        <w:rFonts w:hint="default" w:ascii="Times New Roman" w:hAnsi="Times New Roman" w:cs="Times New Roman"/>
      </w:rPr>
    </w:lvl>
    <w:lvl w:ilvl="8" w:tentative="0">
      <w:start w:val="0"/>
      <w:numFmt w:val="bullet"/>
      <w:lvlText w:val="•"/>
      <w:lvlJc w:val="left"/>
      <w:pPr>
        <w:ind w:left="8377" w:hanging="345"/>
      </w:pPr>
      <w:rPr>
        <w:rFonts w:hint="default" w:ascii="Times New Roman" w:hAnsi="Times New Roman" w:cs="Times New Roman"/>
      </w:rPr>
    </w:lvl>
  </w:abstractNum>
  <w:abstractNum w:abstractNumId="10">
    <w:nsid w:val="FF7BA8FC"/>
    <w:multiLevelType w:val="multilevel"/>
    <w:tmpl w:val="FF7BA8FC"/>
    <w:lvl w:ilvl="0" w:tentative="0">
      <w:start w:val="1"/>
      <w:numFmt w:val="decimal"/>
      <w:lvlText w:val="%1"/>
      <w:lvlJc w:val="left"/>
      <w:pPr>
        <w:ind w:left="682" w:hanging="567"/>
      </w:pPr>
      <w:rPr>
        <w:rFonts w:hint="default" w:ascii="Times New Roman" w:hAnsi="Times New Roman" w:cs="Times New Roman"/>
      </w:rPr>
    </w:lvl>
    <w:lvl w:ilvl="1" w:tentative="0">
      <w:start w:val="1"/>
      <w:numFmt w:val="chineseCountingThousand"/>
      <w:lvlText w:val="(%2)"/>
      <w:lvlJc w:val="left"/>
      <w:pPr>
        <w:ind w:left="682" w:hanging="567"/>
      </w:pPr>
      <w:rPr>
        <w:rFonts w:hint="default" w:ascii="Times New Roman" w:hAnsi="Times New Roman" w:cs="Times New Roman"/>
        <w:sz w:val="22"/>
        <w:szCs w:val="22"/>
      </w:rPr>
    </w:lvl>
    <w:lvl w:ilvl="2" w:tentative="0">
      <w:start w:val="1"/>
      <w:numFmt w:val="decimal"/>
      <w:lvlText w:val="%3)"/>
      <w:lvlJc w:val="left"/>
      <w:pPr>
        <w:ind w:left="1393" w:hanging="711"/>
      </w:pPr>
      <w:rPr>
        <w:rFonts w:hint="default" w:ascii="Times New Roman" w:hAnsi="Times New Roman" w:cs="Times New Roman"/>
        <w:spacing w:val="-3"/>
        <w:sz w:val="22"/>
        <w:szCs w:val="22"/>
      </w:rPr>
    </w:lvl>
    <w:lvl w:ilvl="3" w:tentative="0">
      <w:start w:val="1"/>
      <w:numFmt w:val="decimalEnclosedCircle"/>
      <w:lvlText w:val="%4"/>
      <w:lvlJc w:val="left"/>
      <w:pPr>
        <w:ind w:left="566" w:hanging="425"/>
      </w:pPr>
      <w:rPr>
        <w:rFonts w:hint="eastAsia" w:ascii="宋体" w:hAnsi="宋体" w:eastAsia="宋体" w:cs="宋体"/>
        <w:spacing w:val="-1"/>
        <w:sz w:val="22"/>
        <w:szCs w:val="22"/>
      </w:rPr>
    </w:lvl>
    <w:lvl w:ilvl="4" w:tentative="0">
      <w:start w:val="1"/>
      <w:numFmt w:val="lowerLetter"/>
      <w:lvlText w:val="%5"/>
      <w:lvlJc w:val="left"/>
      <w:pPr>
        <w:ind w:left="2157" w:hanging="339"/>
      </w:pPr>
      <w:rPr>
        <w:rFonts w:hint="default" w:ascii="Arial" w:hAnsi="Arial" w:cs="Arial"/>
        <w:sz w:val="22"/>
        <w:szCs w:val="22"/>
      </w:rPr>
    </w:lvl>
    <w:lvl w:ilvl="5" w:tentative="0">
      <w:start w:val="0"/>
      <w:numFmt w:val="bullet"/>
      <w:lvlText w:val="•"/>
      <w:lvlJc w:val="left"/>
      <w:pPr>
        <w:ind w:left="3454" w:hanging="339"/>
      </w:pPr>
      <w:rPr>
        <w:rFonts w:hint="default" w:ascii="Times New Roman" w:hAnsi="Times New Roman" w:cs="Times New Roman"/>
      </w:rPr>
    </w:lvl>
    <w:lvl w:ilvl="6" w:tentative="0">
      <w:start w:val="0"/>
      <w:numFmt w:val="bullet"/>
      <w:lvlText w:val="•"/>
      <w:lvlJc w:val="left"/>
      <w:pPr>
        <w:ind w:left="4748" w:hanging="339"/>
      </w:pPr>
      <w:rPr>
        <w:rFonts w:hint="default" w:ascii="Times New Roman" w:hAnsi="Times New Roman" w:cs="Times New Roman"/>
      </w:rPr>
    </w:lvl>
    <w:lvl w:ilvl="7" w:tentative="0">
      <w:start w:val="0"/>
      <w:numFmt w:val="bullet"/>
      <w:lvlText w:val="•"/>
      <w:lvlJc w:val="left"/>
      <w:pPr>
        <w:ind w:left="6043" w:hanging="339"/>
      </w:pPr>
      <w:rPr>
        <w:rFonts w:hint="default" w:ascii="Times New Roman" w:hAnsi="Times New Roman" w:cs="Times New Roman"/>
      </w:rPr>
    </w:lvl>
    <w:lvl w:ilvl="8" w:tentative="0">
      <w:start w:val="0"/>
      <w:numFmt w:val="bullet"/>
      <w:lvlText w:val="•"/>
      <w:lvlJc w:val="left"/>
      <w:pPr>
        <w:ind w:left="7337" w:hanging="339"/>
      </w:pPr>
      <w:rPr>
        <w:rFonts w:hint="default" w:ascii="Times New Roman" w:hAnsi="Times New Roman" w:cs="Times New Roman"/>
      </w:rPr>
    </w:lvl>
  </w:abstractNum>
  <w:abstractNum w:abstractNumId="11">
    <w:nsid w:val="FFFFFF7F"/>
    <w:multiLevelType w:val="singleLevel"/>
    <w:tmpl w:val="FFFFFF7F"/>
    <w:lvl w:ilvl="0" w:tentative="0">
      <w:start w:val="1"/>
      <w:numFmt w:val="decimal"/>
      <w:pStyle w:val="16"/>
      <w:lvlText w:val="%1."/>
      <w:lvlJc w:val="left"/>
      <w:pPr>
        <w:tabs>
          <w:tab w:val="left" w:pos="780"/>
        </w:tabs>
        <w:ind w:left="780" w:hanging="360"/>
      </w:pPr>
    </w:lvl>
  </w:abstractNum>
  <w:abstractNum w:abstractNumId="12">
    <w:nsid w:val="37FCDA37"/>
    <w:multiLevelType w:val="multilevel"/>
    <w:tmpl w:val="37FCDA37"/>
    <w:lvl w:ilvl="0" w:tentative="0">
      <w:start w:val="3"/>
      <w:numFmt w:val="decimal"/>
      <w:lvlText w:val="%1"/>
      <w:lvlJc w:val="left"/>
      <w:pPr>
        <w:ind w:left="648" w:hanging="540"/>
      </w:pPr>
      <w:rPr>
        <w:rFonts w:hint="default" w:ascii="Times New Roman" w:hAnsi="Times New Roman" w:cs="Times New Roman"/>
      </w:rPr>
    </w:lvl>
    <w:lvl w:ilvl="1" w:tentative="0">
      <w:start w:val="1"/>
      <w:numFmt w:val="chineseCountingThousand"/>
      <w:lvlText w:val="(%2)"/>
      <w:lvlJc w:val="left"/>
      <w:pPr>
        <w:ind w:left="648" w:hanging="540"/>
      </w:pPr>
      <w:rPr>
        <w:rFonts w:hint="default" w:ascii="Times New Roman" w:hAnsi="Times New Roman" w:cs="Times New Roman"/>
        <w:sz w:val="22"/>
        <w:szCs w:val="22"/>
      </w:rPr>
    </w:lvl>
    <w:lvl w:ilvl="2" w:tentative="0">
      <w:start w:val="1"/>
      <w:numFmt w:val="decimal"/>
      <w:lvlText w:val="%3)"/>
      <w:lvlJc w:val="left"/>
      <w:pPr>
        <w:ind w:left="1548" w:hanging="790"/>
      </w:pPr>
      <w:rPr>
        <w:rFonts w:hint="default" w:ascii="Times New Roman" w:hAnsi="Times New Roman" w:cs="Times New Roman"/>
        <w:spacing w:val="0"/>
        <w:sz w:val="22"/>
        <w:szCs w:val="22"/>
      </w:rPr>
    </w:lvl>
    <w:lvl w:ilvl="3" w:tentative="0">
      <w:start w:val="1"/>
      <w:numFmt w:val="decimalEnclosedCircle"/>
      <w:lvlText w:val="%4"/>
      <w:lvlJc w:val="left"/>
      <w:pPr>
        <w:ind w:left="1908" w:hanging="353"/>
      </w:pPr>
      <w:rPr>
        <w:rFonts w:hint="eastAsia" w:ascii="宋体" w:hAnsi="宋体" w:eastAsia="宋体" w:cs="宋体"/>
        <w:spacing w:val="-1"/>
        <w:sz w:val="24"/>
        <w:szCs w:val="24"/>
      </w:rPr>
    </w:lvl>
    <w:lvl w:ilvl="4" w:tentative="0">
      <w:start w:val="0"/>
      <w:numFmt w:val="bullet"/>
      <w:lvlText w:val="•"/>
      <w:lvlJc w:val="left"/>
      <w:pPr>
        <w:ind w:left="3901" w:hanging="353"/>
      </w:pPr>
      <w:rPr>
        <w:rFonts w:hint="default" w:ascii="Times New Roman" w:hAnsi="Times New Roman" w:cs="Times New Roman"/>
      </w:rPr>
    </w:lvl>
    <w:lvl w:ilvl="5" w:tentative="0">
      <w:start w:val="0"/>
      <w:numFmt w:val="bullet"/>
      <w:lvlText w:val="•"/>
      <w:lvlJc w:val="left"/>
      <w:pPr>
        <w:ind w:left="4902" w:hanging="353"/>
      </w:pPr>
      <w:rPr>
        <w:rFonts w:hint="default" w:ascii="Times New Roman" w:hAnsi="Times New Roman" w:cs="Times New Roman"/>
      </w:rPr>
    </w:lvl>
    <w:lvl w:ilvl="6" w:tentative="0">
      <w:start w:val="0"/>
      <w:numFmt w:val="bullet"/>
      <w:lvlText w:val="•"/>
      <w:lvlJc w:val="left"/>
      <w:pPr>
        <w:ind w:left="5903" w:hanging="353"/>
      </w:pPr>
      <w:rPr>
        <w:rFonts w:hint="default" w:ascii="Times New Roman" w:hAnsi="Times New Roman" w:cs="Times New Roman"/>
      </w:rPr>
    </w:lvl>
    <w:lvl w:ilvl="7" w:tentative="0">
      <w:start w:val="0"/>
      <w:numFmt w:val="bullet"/>
      <w:lvlText w:val="•"/>
      <w:lvlJc w:val="left"/>
      <w:pPr>
        <w:ind w:left="6904" w:hanging="353"/>
      </w:pPr>
      <w:rPr>
        <w:rFonts w:hint="default" w:ascii="Times New Roman" w:hAnsi="Times New Roman" w:cs="Times New Roman"/>
      </w:rPr>
    </w:lvl>
    <w:lvl w:ilvl="8" w:tentative="0">
      <w:start w:val="0"/>
      <w:numFmt w:val="bullet"/>
      <w:lvlText w:val="•"/>
      <w:lvlJc w:val="left"/>
      <w:pPr>
        <w:ind w:left="7904" w:hanging="353"/>
      </w:pPr>
      <w:rPr>
        <w:rFonts w:hint="default" w:ascii="Times New Roman" w:hAnsi="Times New Roman" w:cs="Times New Roman"/>
      </w:rPr>
    </w:lvl>
  </w:abstractNum>
  <w:abstractNum w:abstractNumId="13">
    <w:nsid w:val="6A280582"/>
    <w:multiLevelType w:val="singleLevel"/>
    <w:tmpl w:val="6A280582"/>
    <w:lvl w:ilvl="0" w:tentative="0">
      <w:start w:val="2"/>
      <w:numFmt w:val="decimal"/>
      <w:suff w:val="nothing"/>
      <w:lvlText w:val="%1、"/>
      <w:lvlJc w:val="left"/>
    </w:lvl>
  </w:abstractNum>
  <w:abstractNum w:abstractNumId="14">
    <w:nsid w:val="7DF91B06"/>
    <w:multiLevelType w:val="multilevel"/>
    <w:tmpl w:val="7DF91B06"/>
    <w:lvl w:ilvl="0" w:tentative="0">
      <w:start w:val="1"/>
      <w:numFmt w:val="decimal"/>
      <w:lvlText w:val="%1"/>
      <w:lvlJc w:val="left"/>
      <w:pPr>
        <w:ind w:left="1196" w:hanging="605"/>
      </w:pPr>
      <w:rPr>
        <w:rFonts w:hint="default" w:ascii="Times New Roman" w:hAnsi="Times New Roman" w:cs="Times New Roman"/>
      </w:rPr>
    </w:lvl>
    <w:lvl w:ilvl="1" w:tentative="0">
      <w:start w:val="1"/>
      <w:numFmt w:val="decimal"/>
      <w:lvlText w:val="5.2.%2"/>
      <w:lvlJc w:val="left"/>
      <w:pPr>
        <w:ind w:left="1196" w:hanging="605"/>
      </w:pPr>
      <w:rPr>
        <w:rFonts w:hint="eastAsia" w:ascii="宋体" w:hAnsi="宋体" w:eastAsia="宋体" w:cs="宋体"/>
      </w:rPr>
    </w:lvl>
    <w:lvl w:ilvl="2" w:tentative="0">
      <w:start w:val="1"/>
      <w:numFmt w:val="decimal"/>
      <w:lvlText w:val="5.2.1.3.%3"/>
      <w:lvlJc w:val="left"/>
      <w:pPr>
        <w:ind w:left="1196" w:hanging="605"/>
      </w:pPr>
      <w:rPr>
        <w:rFonts w:hint="default" w:ascii="Times New Roman" w:hAnsi="Times New Roman" w:cs="Times New Roman"/>
        <w:sz w:val="22"/>
        <w:szCs w:val="22"/>
      </w:rPr>
    </w:lvl>
    <w:lvl w:ilvl="3" w:tentative="0">
      <w:start w:val="1"/>
      <w:numFmt w:val="decimal"/>
      <w:lvlText w:val="%4)"/>
      <w:lvlJc w:val="left"/>
      <w:pPr>
        <w:ind w:left="1556" w:hanging="360"/>
      </w:pPr>
      <w:rPr>
        <w:rFonts w:hint="default" w:ascii="Arial" w:hAnsi="Arial" w:cs="Arial"/>
        <w:spacing w:val="-1"/>
        <w:sz w:val="22"/>
        <w:szCs w:val="22"/>
      </w:rPr>
    </w:lvl>
    <w:lvl w:ilvl="4" w:tentative="0">
      <w:start w:val="1"/>
      <w:numFmt w:val="decimalEnclosedCircle"/>
      <w:lvlText w:val="%5"/>
      <w:lvlJc w:val="left"/>
      <w:pPr>
        <w:ind w:left="1995" w:hanging="430"/>
      </w:pPr>
      <w:rPr>
        <w:rFonts w:hint="eastAsia" w:ascii="宋体" w:hAnsi="宋体" w:eastAsia="宋体" w:cs="宋体"/>
        <w:sz w:val="24"/>
        <w:szCs w:val="24"/>
      </w:rPr>
    </w:lvl>
    <w:lvl w:ilvl="5" w:tentative="0">
      <w:start w:val="1"/>
      <w:numFmt w:val="lowerLetter"/>
      <w:lvlText w:val="%6)"/>
      <w:lvlJc w:val="left"/>
      <w:pPr>
        <w:ind w:left="2363" w:hanging="361"/>
      </w:pPr>
      <w:rPr>
        <w:rFonts w:hint="default" w:ascii="Times New Roman" w:hAnsi="Times New Roman" w:cs="Times New Roman"/>
        <w:spacing w:val="-1"/>
        <w:sz w:val="24"/>
        <w:szCs w:val="24"/>
      </w:rPr>
    </w:lvl>
    <w:lvl w:ilvl="6" w:tentative="0">
      <w:start w:val="0"/>
      <w:numFmt w:val="bullet"/>
      <w:lvlText w:val="•"/>
      <w:lvlJc w:val="left"/>
      <w:pPr>
        <w:ind w:left="4888" w:hanging="361"/>
      </w:pPr>
      <w:rPr>
        <w:rFonts w:hint="default" w:ascii="Times New Roman" w:hAnsi="Times New Roman" w:cs="Times New Roman"/>
      </w:rPr>
    </w:lvl>
    <w:lvl w:ilvl="7" w:tentative="0">
      <w:start w:val="0"/>
      <w:numFmt w:val="bullet"/>
      <w:lvlText w:val="•"/>
      <w:lvlJc w:val="left"/>
      <w:pPr>
        <w:ind w:left="6153" w:hanging="361"/>
      </w:pPr>
      <w:rPr>
        <w:rFonts w:hint="default" w:ascii="Times New Roman" w:hAnsi="Times New Roman" w:cs="Times New Roman"/>
      </w:rPr>
    </w:lvl>
    <w:lvl w:ilvl="8" w:tentative="0">
      <w:start w:val="0"/>
      <w:numFmt w:val="bullet"/>
      <w:lvlText w:val="•"/>
      <w:lvlJc w:val="left"/>
      <w:pPr>
        <w:ind w:left="7417" w:hanging="361"/>
      </w:pPr>
      <w:rPr>
        <w:rFonts w:hint="default" w:ascii="Times New Roman" w:hAnsi="Times New Roman" w:cs="Times New Roman"/>
      </w:rPr>
    </w:lvl>
  </w:abstractNum>
  <w:num w:numId="1">
    <w:abstractNumId w:val="11"/>
  </w:num>
  <w:num w:numId="2">
    <w:abstractNumId w:val="8"/>
  </w:num>
  <w:num w:numId="3">
    <w:abstractNumId w:val="0"/>
  </w:num>
  <w:num w:numId="4">
    <w:abstractNumId w:val="14"/>
  </w:num>
  <w:num w:numId="5">
    <w:abstractNumId w:val="3"/>
  </w:num>
  <w:num w:numId="6">
    <w:abstractNumId w:val="5"/>
  </w:num>
  <w:num w:numId="7">
    <w:abstractNumId w:val="1"/>
  </w:num>
  <w:num w:numId="8">
    <w:abstractNumId w:val="4"/>
  </w:num>
  <w:num w:numId="9">
    <w:abstractNumId w:val="6"/>
  </w:num>
  <w:num w:numId="10">
    <w:abstractNumId w:val="2"/>
  </w:num>
  <w:num w:numId="11">
    <w:abstractNumId w:val="10"/>
  </w:num>
  <w:num w:numId="12">
    <w:abstractNumId w:val="12"/>
  </w:num>
  <w:num w:numId="13">
    <w:abstractNumId w:val="7"/>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docVars>
    <w:docVar w:name="commondata" w:val="eyJoZGlkIjoiN2RlODY0ZTk5ZDJjYTQ4MTZjMjVlOTYzYzRkYTVjMWQifQ=="/>
  </w:docVars>
  <w:rsids>
    <w:rsidRoot w:val="00C457B2"/>
    <w:rsid w:val="00002805"/>
    <w:rsid w:val="00003BF8"/>
    <w:rsid w:val="00004B73"/>
    <w:rsid w:val="00005FEA"/>
    <w:rsid w:val="00012CEB"/>
    <w:rsid w:val="00016803"/>
    <w:rsid w:val="000175CD"/>
    <w:rsid w:val="000219CC"/>
    <w:rsid w:val="00025AEA"/>
    <w:rsid w:val="00025D17"/>
    <w:rsid w:val="0004042A"/>
    <w:rsid w:val="00045BFA"/>
    <w:rsid w:val="00052577"/>
    <w:rsid w:val="00096FA3"/>
    <w:rsid w:val="000B0749"/>
    <w:rsid w:val="000C452A"/>
    <w:rsid w:val="000C7BB7"/>
    <w:rsid w:val="000D232F"/>
    <w:rsid w:val="000E0EC6"/>
    <w:rsid w:val="000E2660"/>
    <w:rsid w:val="000F0F0F"/>
    <w:rsid w:val="00102BD1"/>
    <w:rsid w:val="00103217"/>
    <w:rsid w:val="00110DBB"/>
    <w:rsid w:val="001160A5"/>
    <w:rsid w:val="00121B46"/>
    <w:rsid w:val="00124019"/>
    <w:rsid w:val="001320CF"/>
    <w:rsid w:val="0013270E"/>
    <w:rsid w:val="0013337A"/>
    <w:rsid w:val="001357C0"/>
    <w:rsid w:val="00136772"/>
    <w:rsid w:val="00145DBA"/>
    <w:rsid w:val="0015536F"/>
    <w:rsid w:val="0016186A"/>
    <w:rsid w:val="00170E6A"/>
    <w:rsid w:val="00183FEA"/>
    <w:rsid w:val="00197391"/>
    <w:rsid w:val="001B37BD"/>
    <w:rsid w:val="001C1CC2"/>
    <w:rsid w:val="001D00A6"/>
    <w:rsid w:val="001D180C"/>
    <w:rsid w:val="001D365E"/>
    <w:rsid w:val="001E05F1"/>
    <w:rsid w:val="001E0DE1"/>
    <w:rsid w:val="001E1452"/>
    <w:rsid w:val="001E404F"/>
    <w:rsid w:val="001E4BCE"/>
    <w:rsid w:val="001E67B5"/>
    <w:rsid w:val="001F0BF7"/>
    <w:rsid w:val="001F12F7"/>
    <w:rsid w:val="001F2661"/>
    <w:rsid w:val="001F4167"/>
    <w:rsid w:val="0020704A"/>
    <w:rsid w:val="00207EFE"/>
    <w:rsid w:val="0021031D"/>
    <w:rsid w:val="0022118F"/>
    <w:rsid w:val="0022182C"/>
    <w:rsid w:val="00230471"/>
    <w:rsid w:val="00230585"/>
    <w:rsid w:val="00235A96"/>
    <w:rsid w:val="00242DB1"/>
    <w:rsid w:val="002434C0"/>
    <w:rsid w:val="00246D50"/>
    <w:rsid w:val="002543D3"/>
    <w:rsid w:val="00265A8B"/>
    <w:rsid w:val="00270E94"/>
    <w:rsid w:val="00271C29"/>
    <w:rsid w:val="00272A31"/>
    <w:rsid w:val="00274ADB"/>
    <w:rsid w:val="002837AD"/>
    <w:rsid w:val="002913F7"/>
    <w:rsid w:val="00296601"/>
    <w:rsid w:val="002A4699"/>
    <w:rsid w:val="002A5E3E"/>
    <w:rsid w:val="002B2B6C"/>
    <w:rsid w:val="002B42F7"/>
    <w:rsid w:val="002B4E61"/>
    <w:rsid w:val="002C1E73"/>
    <w:rsid w:val="002C7C7F"/>
    <w:rsid w:val="002D5F97"/>
    <w:rsid w:val="002E063E"/>
    <w:rsid w:val="002E3F54"/>
    <w:rsid w:val="00303328"/>
    <w:rsid w:val="003049DA"/>
    <w:rsid w:val="00304C7A"/>
    <w:rsid w:val="00313A54"/>
    <w:rsid w:val="00321A4A"/>
    <w:rsid w:val="00322244"/>
    <w:rsid w:val="00334539"/>
    <w:rsid w:val="00335365"/>
    <w:rsid w:val="00351972"/>
    <w:rsid w:val="00351E4F"/>
    <w:rsid w:val="00360CF5"/>
    <w:rsid w:val="00364470"/>
    <w:rsid w:val="00381827"/>
    <w:rsid w:val="0039687C"/>
    <w:rsid w:val="003A0082"/>
    <w:rsid w:val="003A1E19"/>
    <w:rsid w:val="003B12A3"/>
    <w:rsid w:val="003B4FFB"/>
    <w:rsid w:val="003C22F5"/>
    <w:rsid w:val="003C5C90"/>
    <w:rsid w:val="003D23F1"/>
    <w:rsid w:val="003D35D7"/>
    <w:rsid w:val="003E13CC"/>
    <w:rsid w:val="003E34D1"/>
    <w:rsid w:val="003F5817"/>
    <w:rsid w:val="003F7D63"/>
    <w:rsid w:val="004055DD"/>
    <w:rsid w:val="00405876"/>
    <w:rsid w:val="004148B8"/>
    <w:rsid w:val="00420F1E"/>
    <w:rsid w:val="00422A3D"/>
    <w:rsid w:val="004320E7"/>
    <w:rsid w:val="004323A1"/>
    <w:rsid w:val="00451CCB"/>
    <w:rsid w:val="00453361"/>
    <w:rsid w:val="00461B99"/>
    <w:rsid w:val="004643C1"/>
    <w:rsid w:val="004706AB"/>
    <w:rsid w:val="00473E2B"/>
    <w:rsid w:val="00474E46"/>
    <w:rsid w:val="00485C47"/>
    <w:rsid w:val="00487FEA"/>
    <w:rsid w:val="00492D8D"/>
    <w:rsid w:val="004B53BE"/>
    <w:rsid w:val="004D66FC"/>
    <w:rsid w:val="004E08D4"/>
    <w:rsid w:val="004F0285"/>
    <w:rsid w:val="004F56F0"/>
    <w:rsid w:val="004F5B83"/>
    <w:rsid w:val="005141AE"/>
    <w:rsid w:val="00516B85"/>
    <w:rsid w:val="00516D22"/>
    <w:rsid w:val="00520F72"/>
    <w:rsid w:val="00523D06"/>
    <w:rsid w:val="00527FB7"/>
    <w:rsid w:val="00551EDC"/>
    <w:rsid w:val="00553821"/>
    <w:rsid w:val="00564DD2"/>
    <w:rsid w:val="00566C26"/>
    <w:rsid w:val="00571360"/>
    <w:rsid w:val="00585485"/>
    <w:rsid w:val="00590E6A"/>
    <w:rsid w:val="005B268D"/>
    <w:rsid w:val="005B6C04"/>
    <w:rsid w:val="005C2F89"/>
    <w:rsid w:val="005C367D"/>
    <w:rsid w:val="005D4CBB"/>
    <w:rsid w:val="005E2988"/>
    <w:rsid w:val="005F3551"/>
    <w:rsid w:val="00611967"/>
    <w:rsid w:val="0061504E"/>
    <w:rsid w:val="00635735"/>
    <w:rsid w:val="00645511"/>
    <w:rsid w:val="00653B7C"/>
    <w:rsid w:val="00654E6D"/>
    <w:rsid w:val="0066396F"/>
    <w:rsid w:val="00675D58"/>
    <w:rsid w:val="0068409B"/>
    <w:rsid w:val="00684918"/>
    <w:rsid w:val="00684C4D"/>
    <w:rsid w:val="006856E0"/>
    <w:rsid w:val="00686513"/>
    <w:rsid w:val="0069606B"/>
    <w:rsid w:val="00696ED1"/>
    <w:rsid w:val="006B77AF"/>
    <w:rsid w:val="006D6C03"/>
    <w:rsid w:val="006E0D46"/>
    <w:rsid w:val="006E1ECC"/>
    <w:rsid w:val="006E4CBF"/>
    <w:rsid w:val="006F136A"/>
    <w:rsid w:val="0072514A"/>
    <w:rsid w:val="00733A58"/>
    <w:rsid w:val="007401BD"/>
    <w:rsid w:val="007409FA"/>
    <w:rsid w:val="00741C0D"/>
    <w:rsid w:val="007443E5"/>
    <w:rsid w:val="00745C04"/>
    <w:rsid w:val="00747300"/>
    <w:rsid w:val="00752506"/>
    <w:rsid w:val="00752584"/>
    <w:rsid w:val="00754B17"/>
    <w:rsid w:val="007607A5"/>
    <w:rsid w:val="00774A88"/>
    <w:rsid w:val="007769A9"/>
    <w:rsid w:val="007907A3"/>
    <w:rsid w:val="00790C20"/>
    <w:rsid w:val="00792178"/>
    <w:rsid w:val="00794B9A"/>
    <w:rsid w:val="007963C5"/>
    <w:rsid w:val="007975F1"/>
    <w:rsid w:val="007A32C8"/>
    <w:rsid w:val="007B58A9"/>
    <w:rsid w:val="007B5A2C"/>
    <w:rsid w:val="007D4EE9"/>
    <w:rsid w:val="007E35B1"/>
    <w:rsid w:val="007E5A4B"/>
    <w:rsid w:val="007E7536"/>
    <w:rsid w:val="00810DE3"/>
    <w:rsid w:val="00813BEC"/>
    <w:rsid w:val="00815F0B"/>
    <w:rsid w:val="00820AFD"/>
    <w:rsid w:val="00826922"/>
    <w:rsid w:val="00827A7D"/>
    <w:rsid w:val="008450A6"/>
    <w:rsid w:val="00861F8D"/>
    <w:rsid w:val="008639DB"/>
    <w:rsid w:val="008642E8"/>
    <w:rsid w:val="0087121A"/>
    <w:rsid w:val="00887E41"/>
    <w:rsid w:val="008A0E58"/>
    <w:rsid w:val="008A1CD0"/>
    <w:rsid w:val="008A3FCE"/>
    <w:rsid w:val="008A4691"/>
    <w:rsid w:val="008B51D7"/>
    <w:rsid w:val="008D03E4"/>
    <w:rsid w:val="008D05A5"/>
    <w:rsid w:val="008D1E2D"/>
    <w:rsid w:val="008D5639"/>
    <w:rsid w:val="008D6072"/>
    <w:rsid w:val="008F4987"/>
    <w:rsid w:val="00900478"/>
    <w:rsid w:val="00905791"/>
    <w:rsid w:val="009106DE"/>
    <w:rsid w:val="00922F90"/>
    <w:rsid w:val="00925581"/>
    <w:rsid w:val="009321C7"/>
    <w:rsid w:val="00936681"/>
    <w:rsid w:val="00940EFE"/>
    <w:rsid w:val="00945482"/>
    <w:rsid w:val="009458F8"/>
    <w:rsid w:val="0095325D"/>
    <w:rsid w:val="00964B34"/>
    <w:rsid w:val="009803AB"/>
    <w:rsid w:val="009830BF"/>
    <w:rsid w:val="00983AD0"/>
    <w:rsid w:val="009862B0"/>
    <w:rsid w:val="009876FC"/>
    <w:rsid w:val="0099347D"/>
    <w:rsid w:val="009954F4"/>
    <w:rsid w:val="009A5E59"/>
    <w:rsid w:val="009B3E54"/>
    <w:rsid w:val="009D51E3"/>
    <w:rsid w:val="009D52BA"/>
    <w:rsid w:val="009D5795"/>
    <w:rsid w:val="009D57AB"/>
    <w:rsid w:val="009E07FE"/>
    <w:rsid w:val="009E0B4C"/>
    <w:rsid w:val="009E2007"/>
    <w:rsid w:val="009F1792"/>
    <w:rsid w:val="009F7BF6"/>
    <w:rsid w:val="00A01198"/>
    <w:rsid w:val="00A03556"/>
    <w:rsid w:val="00A10CA3"/>
    <w:rsid w:val="00A125B1"/>
    <w:rsid w:val="00A1547D"/>
    <w:rsid w:val="00A221B1"/>
    <w:rsid w:val="00A315A8"/>
    <w:rsid w:val="00A33321"/>
    <w:rsid w:val="00A4034B"/>
    <w:rsid w:val="00A52FA9"/>
    <w:rsid w:val="00A67B7A"/>
    <w:rsid w:val="00A941EC"/>
    <w:rsid w:val="00AB0604"/>
    <w:rsid w:val="00AB11AA"/>
    <w:rsid w:val="00AB4524"/>
    <w:rsid w:val="00AC6D18"/>
    <w:rsid w:val="00AD4D0A"/>
    <w:rsid w:val="00AE5765"/>
    <w:rsid w:val="00AE75C4"/>
    <w:rsid w:val="00B0208B"/>
    <w:rsid w:val="00B20742"/>
    <w:rsid w:val="00B318CB"/>
    <w:rsid w:val="00B31B5E"/>
    <w:rsid w:val="00B33068"/>
    <w:rsid w:val="00B3363B"/>
    <w:rsid w:val="00B51313"/>
    <w:rsid w:val="00B51558"/>
    <w:rsid w:val="00B57785"/>
    <w:rsid w:val="00B57DFD"/>
    <w:rsid w:val="00B8210F"/>
    <w:rsid w:val="00B83C4B"/>
    <w:rsid w:val="00B941EB"/>
    <w:rsid w:val="00BA4EE4"/>
    <w:rsid w:val="00BB26CA"/>
    <w:rsid w:val="00BC263D"/>
    <w:rsid w:val="00BC5F37"/>
    <w:rsid w:val="00BD5BD9"/>
    <w:rsid w:val="00BD5C2B"/>
    <w:rsid w:val="00BE6B5B"/>
    <w:rsid w:val="00BF236F"/>
    <w:rsid w:val="00BF2EC2"/>
    <w:rsid w:val="00BF68EA"/>
    <w:rsid w:val="00C01909"/>
    <w:rsid w:val="00C04C2F"/>
    <w:rsid w:val="00C125BC"/>
    <w:rsid w:val="00C201F9"/>
    <w:rsid w:val="00C24509"/>
    <w:rsid w:val="00C3763F"/>
    <w:rsid w:val="00C457B2"/>
    <w:rsid w:val="00C54FA3"/>
    <w:rsid w:val="00C55FCC"/>
    <w:rsid w:val="00C649B1"/>
    <w:rsid w:val="00C832C6"/>
    <w:rsid w:val="00C87039"/>
    <w:rsid w:val="00C9133D"/>
    <w:rsid w:val="00C935BF"/>
    <w:rsid w:val="00C95FA3"/>
    <w:rsid w:val="00C963B1"/>
    <w:rsid w:val="00CA1B49"/>
    <w:rsid w:val="00CB4918"/>
    <w:rsid w:val="00CB4A83"/>
    <w:rsid w:val="00CB68D9"/>
    <w:rsid w:val="00CC7CD0"/>
    <w:rsid w:val="00CD1032"/>
    <w:rsid w:val="00CD3E97"/>
    <w:rsid w:val="00CE0374"/>
    <w:rsid w:val="00CE7480"/>
    <w:rsid w:val="00CF03EA"/>
    <w:rsid w:val="00CF278F"/>
    <w:rsid w:val="00D012C6"/>
    <w:rsid w:val="00D04393"/>
    <w:rsid w:val="00D12E14"/>
    <w:rsid w:val="00D274E5"/>
    <w:rsid w:val="00D30B5B"/>
    <w:rsid w:val="00D31ACF"/>
    <w:rsid w:val="00D353B8"/>
    <w:rsid w:val="00D3597F"/>
    <w:rsid w:val="00D44E0C"/>
    <w:rsid w:val="00D44FE7"/>
    <w:rsid w:val="00D56165"/>
    <w:rsid w:val="00D57F3A"/>
    <w:rsid w:val="00DA018F"/>
    <w:rsid w:val="00DA0E43"/>
    <w:rsid w:val="00DA1802"/>
    <w:rsid w:val="00DA3B5A"/>
    <w:rsid w:val="00DA40FB"/>
    <w:rsid w:val="00DB080A"/>
    <w:rsid w:val="00DB2B69"/>
    <w:rsid w:val="00DB4563"/>
    <w:rsid w:val="00DB7B35"/>
    <w:rsid w:val="00DD0A35"/>
    <w:rsid w:val="00DD44C9"/>
    <w:rsid w:val="00DE271A"/>
    <w:rsid w:val="00DE3610"/>
    <w:rsid w:val="00DE463A"/>
    <w:rsid w:val="00DF62B9"/>
    <w:rsid w:val="00DF7D34"/>
    <w:rsid w:val="00E02BC0"/>
    <w:rsid w:val="00E03A47"/>
    <w:rsid w:val="00E0438F"/>
    <w:rsid w:val="00E10683"/>
    <w:rsid w:val="00E14D3A"/>
    <w:rsid w:val="00E221A7"/>
    <w:rsid w:val="00E2631F"/>
    <w:rsid w:val="00E32263"/>
    <w:rsid w:val="00E415D7"/>
    <w:rsid w:val="00E66812"/>
    <w:rsid w:val="00E71AFD"/>
    <w:rsid w:val="00E945F4"/>
    <w:rsid w:val="00E96B73"/>
    <w:rsid w:val="00EA647A"/>
    <w:rsid w:val="00EA66E4"/>
    <w:rsid w:val="00EB0BEF"/>
    <w:rsid w:val="00EB7078"/>
    <w:rsid w:val="00ED0A9C"/>
    <w:rsid w:val="00ED3407"/>
    <w:rsid w:val="00ED3B6A"/>
    <w:rsid w:val="00EE28F5"/>
    <w:rsid w:val="00EE453A"/>
    <w:rsid w:val="00EE5F9B"/>
    <w:rsid w:val="00EF5664"/>
    <w:rsid w:val="00F01816"/>
    <w:rsid w:val="00F06836"/>
    <w:rsid w:val="00F13332"/>
    <w:rsid w:val="00F145B0"/>
    <w:rsid w:val="00F22920"/>
    <w:rsid w:val="00F43B9D"/>
    <w:rsid w:val="00F5427A"/>
    <w:rsid w:val="00F73F61"/>
    <w:rsid w:val="00F77A93"/>
    <w:rsid w:val="00F84A57"/>
    <w:rsid w:val="00F8624E"/>
    <w:rsid w:val="00F9171B"/>
    <w:rsid w:val="00F9232F"/>
    <w:rsid w:val="00FA10BD"/>
    <w:rsid w:val="00FA535B"/>
    <w:rsid w:val="00FA5789"/>
    <w:rsid w:val="00FB1647"/>
    <w:rsid w:val="00FD78EA"/>
    <w:rsid w:val="00FE1A8E"/>
    <w:rsid w:val="00FE43AA"/>
    <w:rsid w:val="00FF26A4"/>
    <w:rsid w:val="00FF29B8"/>
    <w:rsid w:val="071603BE"/>
    <w:rsid w:val="076247AC"/>
    <w:rsid w:val="08E4634A"/>
    <w:rsid w:val="09FD44E6"/>
    <w:rsid w:val="0BB1145F"/>
    <w:rsid w:val="0E190268"/>
    <w:rsid w:val="0E363A45"/>
    <w:rsid w:val="0F9D0696"/>
    <w:rsid w:val="101755A5"/>
    <w:rsid w:val="163B0B96"/>
    <w:rsid w:val="165B49E1"/>
    <w:rsid w:val="1E723956"/>
    <w:rsid w:val="1F6659B4"/>
    <w:rsid w:val="28155F45"/>
    <w:rsid w:val="29196788"/>
    <w:rsid w:val="29E803C3"/>
    <w:rsid w:val="2B7C61BF"/>
    <w:rsid w:val="2BD81DC1"/>
    <w:rsid w:val="2DBF1599"/>
    <w:rsid w:val="2E4B4B86"/>
    <w:rsid w:val="2E9A31D8"/>
    <w:rsid w:val="2F6A7849"/>
    <w:rsid w:val="2FA66557"/>
    <w:rsid w:val="34AB0B8C"/>
    <w:rsid w:val="38ED1059"/>
    <w:rsid w:val="3A7E5484"/>
    <w:rsid w:val="3AA51998"/>
    <w:rsid w:val="3D762284"/>
    <w:rsid w:val="3FBB4D9D"/>
    <w:rsid w:val="408469E4"/>
    <w:rsid w:val="437D79C7"/>
    <w:rsid w:val="46693892"/>
    <w:rsid w:val="494519B3"/>
    <w:rsid w:val="49B123F5"/>
    <w:rsid w:val="4C0813AE"/>
    <w:rsid w:val="4D746736"/>
    <w:rsid w:val="4DB46E57"/>
    <w:rsid w:val="53922A86"/>
    <w:rsid w:val="544D72DC"/>
    <w:rsid w:val="548670BA"/>
    <w:rsid w:val="590A1E4D"/>
    <w:rsid w:val="5ADB6194"/>
    <w:rsid w:val="5AEA0773"/>
    <w:rsid w:val="5BF6326E"/>
    <w:rsid w:val="5FBE7D8F"/>
    <w:rsid w:val="60746A4B"/>
    <w:rsid w:val="61897B09"/>
    <w:rsid w:val="61F71336"/>
    <w:rsid w:val="63D84EDF"/>
    <w:rsid w:val="63DF6AAB"/>
    <w:rsid w:val="648949E7"/>
    <w:rsid w:val="69B94755"/>
    <w:rsid w:val="6A343F70"/>
    <w:rsid w:val="6BC0155D"/>
    <w:rsid w:val="6F187FDD"/>
    <w:rsid w:val="70D72EF1"/>
    <w:rsid w:val="72D33736"/>
    <w:rsid w:val="73413A6E"/>
    <w:rsid w:val="741F00C1"/>
    <w:rsid w:val="7F302CFB"/>
    <w:rsid w:val="7FE530B9"/>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nhideWhenUsed="0" w:uiPriority="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qFormat="1" w:uiPriority="0" w:semiHidden="0" w:name="envelope return"/>
    <w:lsdException w:uiPriority="0" w:name="footnote reference"/>
    <w:lsdException w:uiPriority="0" w:name="annotation reference"/>
    <w:lsdException w:uiPriority="0" w:name="line number"/>
    <w:lsdException w:qFormat="1" w:unhideWhenUsed="0" w:uiPriority="99"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iPriority="0" w:name="Salutation"/>
    <w:lsdException w:qFormat="1" w:unhideWhenUsed="0" w:uiPriority="99" w:semiHidden="0" w:name="Date"/>
    <w:lsdException w:qFormat="1" w:uiPriority="0" w:semiHidden="0" w:name="Body Text First Indent"/>
    <w:lsdException w:qFormat="1" w:uiPriority="0" w:semiHidden="0" w:name="Body Text First Indent 2"/>
    <w:lsdException w:uiPriority="0" w:name="Note Heading"/>
    <w:lsdException w:qFormat="1" w:uiPriority="0" w:semiHidden="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ocked="1"/>
    <w:lsdException w:qFormat="1" w:unhideWhenUsed="0" w:uiPriority="0" w:semiHidden="0" w:name="Emphasis" w:locked="1"/>
    <w:lsdException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4"/>
    <w:qFormat/>
    <w:locked/>
    <w:uiPriority w:val="9"/>
    <w:pPr>
      <w:keepNext/>
      <w:keepLines/>
      <w:spacing w:before="340" w:after="330" w:line="578" w:lineRule="auto"/>
      <w:outlineLvl w:val="0"/>
    </w:pPr>
    <w:rPr>
      <w:b/>
      <w:bCs/>
      <w:kern w:val="44"/>
      <w:sz w:val="44"/>
      <w:szCs w:val="44"/>
    </w:rPr>
  </w:style>
  <w:style w:type="paragraph" w:styleId="3">
    <w:name w:val="heading 2"/>
    <w:basedOn w:val="1"/>
    <w:next w:val="1"/>
    <w:link w:val="28"/>
    <w:qFormat/>
    <w:uiPriority w:val="9"/>
    <w:pPr>
      <w:keepNext/>
      <w:keepLines/>
      <w:spacing w:before="260" w:after="260" w:line="415" w:lineRule="auto"/>
      <w:outlineLvl w:val="1"/>
    </w:pPr>
    <w:rPr>
      <w:rFonts w:ascii="Arial" w:hAnsi="Arial" w:eastAsia="黑体"/>
      <w:b/>
      <w:bCs/>
      <w:sz w:val="32"/>
      <w:szCs w:val="32"/>
    </w:rPr>
  </w:style>
  <w:style w:type="character" w:default="1" w:styleId="19">
    <w:name w:val="Default Paragraph Font"/>
    <w:unhideWhenUsed/>
    <w:qFormat/>
    <w:uiPriority w:val="1"/>
  </w:style>
  <w:style w:type="table" w:default="1" w:styleId="17">
    <w:name w:val="Normal Table"/>
    <w:unhideWhenUsed/>
    <w:qFormat/>
    <w:uiPriority w:val="99"/>
    <w:tblPr>
      <w:tblCellMar>
        <w:top w:w="0" w:type="dxa"/>
        <w:left w:w="108" w:type="dxa"/>
        <w:bottom w:w="0" w:type="dxa"/>
        <w:right w:w="108" w:type="dxa"/>
      </w:tblCellMar>
    </w:tblPr>
  </w:style>
  <w:style w:type="paragraph" w:styleId="4">
    <w:name w:val="Body Text"/>
    <w:basedOn w:val="1"/>
    <w:next w:val="5"/>
    <w:link w:val="38"/>
    <w:qFormat/>
    <w:uiPriority w:val="0"/>
    <w:pPr>
      <w:widowControl/>
      <w:jc w:val="left"/>
    </w:pPr>
    <w:rPr>
      <w:b/>
      <w:bCs/>
      <w:kern w:val="0"/>
      <w:sz w:val="24"/>
      <w:lang w:eastAsia="en-US"/>
    </w:rPr>
  </w:style>
  <w:style w:type="paragraph" w:styleId="5">
    <w:name w:val="Body Text 2"/>
    <w:basedOn w:val="1"/>
    <w:unhideWhenUsed/>
    <w:qFormat/>
    <w:uiPriority w:val="0"/>
    <w:pPr>
      <w:spacing w:line="384" w:lineRule="auto"/>
    </w:pPr>
    <w:rPr>
      <w:rFonts w:ascii="宋体" w:hAnsi="宋体"/>
      <w:sz w:val="24"/>
    </w:rPr>
  </w:style>
  <w:style w:type="paragraph" w:styleId="6">
    <w:name w:val="Body Text Indent"/>
    <w:basedOn w:val="1"/>
    <w:next w:val="7"/>
    <w:link w:val="37"/>
    <w:qFormat/>
    <w:uiPriority w:val="0"/>
    <w:pPr>
      <w:ind w:left="62" w:leftChars="62"/>
    </w:pPr>
    <w:rPr>
      <w:rFonts w:hint="eastAsia" w:ascii="宋体" w:hAnsi="宋体"/>
      <w:sz w:val="28"/>
    </w:rPr>
  </w:style>
  <w:style w:type="paragraph" w:styleId="7">
    <w:name w:val="envelope return"/>
    <w:basedOn w:val="1"/>
    <w:unhideWhenUsed/>
    <w:qFormat/>
    <w:uiPriority w:val="0"/>
    <w:pPr>
      <w:snapToGrid w:val="0"/>
      <w:spacing w:line="360" w:lineRule="auto"/>
    </w:pPr>
    <w:rPr>
      <w:rFonts w:ascii="Arial" w:hAnsi="Arial" w:cs="Arial"/>
    </w:rPr>
  </w:style>
  <w:style w:type="paragraph" w:styleId="8">
    <w:name w:val="Plain Text"/>
    <w:basedOn w:val="1"/>
    <w:link w:val="32"/>
    <w:qFormat/>
    <w:uiPriority w:val="0"/>
    <w:rPr>
      <w:rFonts w:ascii="宋体"/>
      <w:kern w:val="0"/>
    </w:rPr>
  </w:style>
  <w:style w:type="paragraph" w:styleId="9">
    <w:name w:val="Date"/>
    <w:basedOn w:val="1"/>
    <w:next w:val="1"/>
    <w:link w:val="31"/>
    <w:qFormat/>
    <w:uiPriority w:val="99"/>
    <w:pPr>
      <w:ind w:left="2500" w:leftChars="2500"/>
    </w:pPr>
    <w:rPr>
      <w:rFonts w:ascii="Calibri" w:hAnsi="Calibri" w:cs="Arial"/>
      <w:szCs w:val="22"/>
    </w:rPr>
  </w:style>
  <w:style w:type="paragraph" w:styleId="10">
    <w:name w:val="Balloon Text"/>
    <w:basedOn w:val="1"/>
    <w:link w:val="33"/>
    <w:unhideWhenUsed/>
    <w:qFormat/>
    <w:uiPriority w:val="99"/>
    <w:rPr>
      <w:sz w:val="18"/>
      <w:szCs w:val="18"/>
    </w:rPr>
  </w:style>
  <w:style w:type="paragraph" w:styleId="11">
    <w:name w:val="footer"/>
    <w:basedOn w:val="1"/>
    <w:link w:val="30"/>
    <w:qFormat/>
    <w:uiPriority w:val="99"/>
    <w:pPr>
      <w:tabs>
        <w:tab w:val="center" w:pos="4153"/>
        <w:tab w:val="right" w:pos="8306"/>
      </w:tabs>
      <w:snapToGrid w:val="0"/>
      <w:jc w:val="left"/>
    </w:pPr>
    <w:rPr>
      <w:sz w:val="18"/>
      <w:szCs w:val="18"/>
    </w:rPr>
  </w:style>
  <w:style w:type="paragraph" w:styleId="12">
    <w:name w:val="header"/>
    <w:basedOn w:val="1"/>
    <w:link w:val="29"/>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unhideWhenUsed/>
    <w:qFormat/>
    <w:uiPriority w:val="99"/>
    <w:pPr>
      <w:widowControl/>
      <w:jc w:val="left"/>
    </w:pPr>
    <w:rPr>
      <w:rFonts w:ascii="宋体" w:hAnsi="宋体" w:cs="宋体"/>
      <w:kern w:val="0"/>
      <w:sz w:val="24"/>
    </w:rPr>
  </w:style>
  <w:style w:type="paragraph" w:styleId="14">
    <w:name w:val="Title"/>
    <w:basedOn w:val="1"/>
    <w:next w:val="1"/>
    <w:link w:val="35"/>
    <w:qFormat/>
    <w:locked/>
    <w:uiPriority w:val="0"/>
    <w:pPr>
      <w:adjustRightInd w:val="0"/>
      <w:spacing w:before="240" w:after="60" w:line="312" w:lineRule="atLeast"/>
      <w:jc w:val="center"/>
      <w:textAlignment w:val="baseline"/>
      <w:outlineLvl w:val="0"/>
    </w:pPr>
    <w:rPr>
      <w:rFonts w:ascii="Cambria" w:hAnsi="Cambria"/>
      <w:b/>
      <w:bCs/>
      <w:kern w:val="0"/>
      <w:sz w:val="32"/>
      <w:szCs w:val="32"/>
    </w:rPr>
  </w:style>
  <w:style w:type="paragraph" w:styleId="15">
    <w:name w:val="Body Text First Indent"/>
    <w:basedOn w:val="4"/>
    <w:next w:val="16"/>
    <w:unhideWhenUsed/>
    <w:qFormat/>
    <w:uiPriority w:val="0"/>
    <w:pPr>
      <w:spacing w:line="360" w:lineRule="auto"/>
      <w:ind w:firstLine="420" w:firstLineChars="100"/>
    </w:pPr>
  </w:style>
  <w:style w:type="paragraph" w:styleId="16">
    <w:name w:val="Body Text First Indent 2"/>
    <w:basedOn w:val="6"/>
    <w:next w:val="1"/>
    <w:unhideWhenUsed/>
    <w:qFormat/>
    <w:uiPriority w:val="0"/>
    <w:pPr>
      <w:numPr>
        <w:ilvl w:val="0"/>
        <w:numId w:val="1"/>
      </w:numPr>
      <w:tabs>
        <w:tab w:val="left" w:pos="432"/>
        <w:tab w:val="clear" w:pos="780"/>
      </w:tabs>
      <w:spacing w:line="360" w:lineRule="auto"/>
      <w:ind w:left="420" w:firstLine="210" w:firstLineChars="200"/>
    </w:pPr>
    <w:rPr>
      <w:bCs/>
    </w:rPr>
  </w:style>
  <w:style w:type="table" w:styleId="18">
    <w:name w:val="Table Grid"/>
    <w:basedOn w:val="17"/>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basedOn w:val="19"/>
    <w:qFormat/>
    <w:uiPriority w:val="99"/>
    <w:rPr>
      <w:rFonts w:cs="Times New Roman"/>
    </w:rPr>
  </w:style>
  <w:style w:type="character" w:styleId="21">
    <w:name w:val="Hyperlink"/>
    <w:qFormat/>
    <w:uiPriority w:val="0"/>
    <w:rPr>
      <w:color w:val="0000FF"/>
      <w:u w:val="single"/>
    </w:rPr>
  </w:style>
  <w:style w:type="paragraph" w:customStyle="1" w:styleId="22">
    <w:name w:val="Char Char Char Char"/>
    <w:basedOn w:val="1"/>
    <w:semiHidden/>
    <w:qFormat/>
    <w:uiPriority w:val="99"/>
    <w:pPr>
      <w:widowControl/>
      <w:spacing w:after="160" w:line="240" w:lineRule="exact"/>
      <w:jc w:val="left"/>
    </w:pPr>
    <w:rPr>
      <w:rFonts w:ascii="Verdana" w:hAnsi="Verdana"/>
      <w:kern w:val="0"/>
      <w:sz w:val="20"/>
      <w:szCs w:val="20"/>
      <w:lang w:eastAsia="en-US"/>
    </w:rPr>
  </w:style>
  <w:style w:type="paragraph" w:customStyle="1" w:styleId="23">
    <w:name w:val="List Paragraph1"/>
    <w:basedOn w:val="1"/>
    <w:qFormat/>
    <w:uiPriority w:val="0"/>
    <w:pPr>
      <w:ind w:firstLine="200" w:firstLineChars="200"/>
    </w:pPr>
    <w:rPr>
      <w:rFonts w:ascii="Calibri" w:hAnsi="Calibri" w:cs="Arial"/>
      <w:szCs w:val="22"/>
    </w:rPr>
  </w:style>
  <w:style w:type="paragraph" w:customStyle="1" w:styleId="24">
    <w:name w:val="列表段落1"/>
    <w:basedOn w:val="1"/>
    <w:qFormat/>
    <w:uiPriority w:val="0"/>
    <w:pPr>
      <w:ind w:firstLine="420" w:firstLineChars="200"/>
    </w:pPr>
  </w:style>
  <w:style w:type="paragraph" w:customStyle="1" w:styleId="25">
    <w:name w:val="列出段落1"/>
    <w:basedOn w:val="1"/>
    <w:qFormat/>
    <w:uiPriority w:val="34"/>
    <w:pPr>
      <w:ind w:firstLine="420" w:firstLineChars="200"/>
    </w:pPr>
  </w:style>
  <w:style w:type="paragraph" w:customStyle="1" w:styleId="26">
    <w:name w:val="_Style 1"/>
    <w:basedOn w:val="1"/>
    <w:unhideWhenUsed/>
    <w:qFormat/>
    <w:uiPriority w:val="34"/>
    <w:pPr>
      <w:ind w:left="952" w:hanging="240"/>
    </w:pPr>
    <w:rPr>
      <w:rFonts w:ascii="宋体" w:hAnsi="宋体" w:cs="宋体"/>
    </w:rPr>
  </w:style>
  <w:style w:type="paragraph" w:customStyle="1" w:styleId="27">
    <w:name w:val="一级目录"/>
    <w:basedOn w:val="1"/>
    <w:qFormat/>
    <w:uiPriority w:val="0"/>
    <w:pPr>
      <w:spacing w:before="156" w:beforeLines="50" w:after="156" w:afterLines="50"/>
    </w:pPr>
    <w:rPr>
      <w:rFonts w:eastAsia="黑体"/>
    </w:rPr>
  </w:style>
  <w:style w:type="character" w:customStyle="1" w:styleId="28">
    <w:name w:val="标题 2 字符"/>
    <w:basedOn w:val="19"/>
    <w:link w:val="3"/>
    <w:qFormat/>
    <w:locked/>
    <w:uiPriority w:val="9"/>
    <w:rPr>
      <w:rFonts w:ascii="Arial" w:hAnsi="Arial" w:eastAsia="黑体" w:cs="Times New Roman"/>
      <w:b/>
      <w:bCs/>
      <w:kern w:val="2"/>
      <w:sz w:val="32"/>
      <w:szCs w:val="32"/>
    </w:rPr>
  </w:style>
  <w:style w:type="character" w:customStyle="1" w:styleId="29">
    <w:name w:val="页眉 字符"/>
    <w:basedOn w:val="19"/>
    <w:link w:val="12"/>
    <w:qFormat/>
    <w:locked/>
    <w:uiPriority w:val="99"/>
    <w:rPr>
      <w:rFonts w:cs="Times New Roman"/>
      <w:kern w:val="2"/>
      <w:sz w:val="18"/>
      <w:szCs w:val="18"/>
    </w:rPr>
  </w:style>
  <w:style w:type="character" w:customStyle="1" w:styleId="30">
    <w:name w:val="页脚 字符"/>
    <w:basedOn w:val="19"/>
    <w:link w:val="11"/>
    <w:qFormat/>
    <w:locked/>
    <w:uiPriority w:val="99"/>
    <w:rPr>
      <w:rFonts w:cs="Times New Roman"/>
      <w:kern w:val="2"/>
      <w:sz w:val="18"/>
      <w:szCs w:val="18"/>
    </w:rPr>
  </w:style>
  <w:style w:type="character" w:customStyle="1" w:styleId="31">
    <w:name w:val="日期 字符"/>
    <w:basedOn w:val="19"/>
    <w:link w:val="9"/>
    <w:qFormat/>
    <w:locked/>
    <w:uiPriority w:val="99"/>
    <w:rPr>
      <w:rFonts w:ascii="Calibri" w:hAnsi="Calibri" w:cs="Arial"/>
      <w:kern w:val="2"/>
      <w:sz w:val="22"/>
      <w:szCs w:val="22"/>
    </w:rPr>
  </w:style>
  <w:style w:type="character" w:customStyle="1" w:styleId="32">
    <w:name w:val="纯文本 字符"/>
    <w:basedOn w:val="19"/>
    <w:link w:val="8"/>
    <w:qFormat/>
    <w:locked/>
    <w:uiPriority w:val="99"/>
    <w:rPr>
      <w:rFonts w:ascii="宋体" w:cs="Times New Roman"/>
      <w:sz w:val="24"/>
      <w:szCs w:val="24"/>
    </w:rPr>
  </w:style>
  <w:style w:type="character" w:customStyle="1" w:styleId="33">
    <w:name w:val="批注框文本 字符"/>
    <w:basedOn w:val="19"/>
    <w:link w:val="10"/>
    <w:semiHidden/>
    <w:qFormat/>
    <w:uiPriority w:val="99"/>
    <w:rPr>
      <w:kern w:val="2"/>
      <w:sz w:val="18"/>
      <w:szCs w:val="18"/>
    </w:rPr>
  </w:style>
  <w:style w:type="character" w:customStyle="1" w:styleId="34">
    <w:name w:val="标题 1 字符"/>
    <w:basedOn w:val="19"/>
    <w:link w:val="2"/>
    <w:qFormat/>
    <w:uiPriority w:val="9"/>
    <w:rPr>
      <w:b/>
      <w:bCs/>
      <w:kern w:val="44"/>
      <w:sz w:val="44"/>
      <w:szCs w:val="44"/>
    </w:rPr>
  </w:style>
  <w:style w:type="character" w:customStyle="1" w:styleId="35">
    <w:name w:val="标题 字符"/>
    <w:basedOn w:val="19"/>
    <w:link w:val="14"/>
    <w:qFormat/>
    <w:uiPriority w:val="0"/>
    <w:rPr>
      <w:rFonts w:ascii="Cambria" w:hAnsi="Cambria"/>
      <w:b/>
      <w:bCs/>
      <w:sz w:val="32"/>
      <w:szCs w:val="32"/>
    </w:rPr>
  </w:style>
  <w:style w:type="character" w:customStyle="1" w:styleId="36">
    <w:name w:val="font01"/>
    <w:qFormat/>
    <w:uiPriority w:val="0"/>
    <w:rPr>
      <w:rFonts w:hint="eastAsia" w:ascii="宋体" w:hAnsi="宋体" w:eastAsia="宋体" w:cs="宋体"/>
      <w:color w:val="000000"/>
      <w:sz w:val="22"/>
      <w:szCs w:val="22"/>
      <w:u w:val="none"/>
    </w:rPr>
  </w:style>
  <w:style w:type="character" w:customStyle="1" w:styleId="37">
    <w:name w:val="正文文本缩进 字符"/>
    <w:basedOn w:val="19"/>
    <w:link w:val="6"/>
    <w:qFormat/>
    <w:uiPriority w:val="0"/>
    <w:rPr>
      <w:rFonts w:ascii="宋体" w:hAnsi="宋体"/>
      <w:kern w:val="2"/>
      <w:sz w:val="28"/>
      <w:szCs w:val="24"/>
    </w:rPr>
  </w:style>
  <w:style w:type="character" w:customStyle="1" w:styleId="38">
    <w:name w:val="正文文本 字符"/>
    <w:basedOn w:val="19"/>
    <w:link w:val="4"/>
    <w:qFormat/>
    <w:uiPriority w:val="0"/>
    <w:rPr>
      <w:b/>
      <w:bCs/>
      <w:sz w:val="24"/>
      <w:szCs w:val="24"/>
      <w:lang w:eastAsia="en-US"/>
    </w:rPr>
  </w:style>
  <w:style w:type="character" w:customStyle="1" w:styleId="39">
    <w:name w:val="未处理的提及1"/>
    <w:basedOn w:val="19"/>
    <w:unhideWhenUsed/>
    <w:qFormat/>
    <w:uiPriority w:val="99"/>
    <w:rPr>
      <w:color w:val="605E5C"/>
      <w:shd w:val="clear" w:color="auto" w:fill="E1DFDD"/>
    </w:rPr>
  </w:style>
  <w:style w:type="paragraph" w:styleId="40">
    <w:name w:val="List Paragraph"/>
    <w:basedOn w:val="1"/>
    <w:qFormat/>
    <w:uiPriority w:val="99"/>
    <w:pPr>
      <w:spacing w:line="300" w:lineRule="auto"/>
      <w:ind w:firstLine="420" w:firstLineChars="200"/>
    </w:pPr>
    <w:rPr>
      <w:rFonts w:ascii="Arial" w:hAnsi="Arial"/>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24</Pages>
  <Words>4104</Words>
  <Characters>4360</Characters>
  <Lines>61</Lines>
  <Paragraphs>17</Paragraphs>
  <TotalTime>0</TotalTime>
  <ScaleCrop>false</ScaleCrop>
  <LinksUpToDate>false</LinksUpToDate>
  <CharactersWithSpaces>4451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2023-07-31T08:13:00Z</dcterms:created>
  <dc:creator>微软用户</dc:creator>
  <cp:lastModifiedBy>季烨霏</cp:lastModifiedBy>
  <cp:lastPrinted>2019-07-25T02:15:00Z</cp:lastPrinted>
  <dcterms:modified xsi:type="dcterms:W3CDTF">2026-08-03T03:01:13Z</dcterms:modified>
  <dc:title>远东复合技术有限公司一台分电机传动框绞机招标技术要求</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B30D2407D52749AA90E06E17A843B924</vt:lpwstr>
  </property>
  <property fmtid="{D5CDD505-2E9C-101B-9397-08002B2CF9AE}" pid="4" name="KSOTemplateDocerSaveRecord">
    <vt:lpwstr>eyJoZGlkIjoiN2RlODY0ZTk5ZDJjYTQ4MTZjMjVlOTYzYzRkYTVjMWQiLCJ1c2VySWQiOiI4MjI4NjQ5MTgifQ==</vt:lpwstr>
  </property>
</Properties>
</file>